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FD84">
      <w:pPr>
        <w:jc w:val="center"/>
        <w:rPr>
          <w:rFonts w:hint="eastAsia" w:ascii="黑体" w:hAnsi="黑体" w:eastAsia="黑体" w:cs="黑体"/>
          <w:color w:val="auto"/>
          <w:spacing w:val="0"/>
          <w:sz w:val="44"/>
          <w:szCs w:val="44"/>
          <w:highlight w:val="none"/>
        </w:rPr>
      </w:pPr>
      <w:r>
        <w:rPr>
          <w:rFonts w:hint="eastAsia" w:ascii="黑体" w:hAnsi="黑体" w:eastAsia="黑体" w:cs="黑体"/>
          <w:color w:val="auto"/>
          <w:spacing w:val="0"/>
          <w:sz w:val="44"/>
          <w:szCs w:val="44"/>
          <w:highlight w:val="none"/>
          <w:lang w:val="en-US" w:eastAsia="zh-CN"/>
        </w:rPr>
        <w:t>洪湖市人民</w:t>
      </w:r>
      <w:r>
        <w:rPr>
          <w:rFonts w:hint="eastAsia" w:ascii="黑体" w:hAnsi="黑体" w:eastAsia="黑体" w:cs="黑体"/>
          <w:color w:val="auto"/>
          <w:spacing w:val="0"/>
          <w:sz w:val="44"/>
          <w:szCs w:val="44"/>
          <w:highlight w:val="none"/>
          <w:lang w:val="hr-HR"/>
        </w:rPr>
        <w:t>医院</w:t>
      </w:r>
      <w:r>
        <w:rPr>
          <w:rFonts w:hint="eastAsia" w:ascii="黑体" w:hAnsi="黑体" w:eastAsia="黑体" w:cs="黑体"/>
          <w:color w:val="auto"/>
          <w:spacing w:val="0"/>
          <w:sz w:val="44"/>
          <w:szCs w:val="44"/>
          <w:highlight w:val="none"/>
        </w:rPr>
        <w:t>肠道营养制剂服务项目</w:t>
      </w:r>
    </w:p>
    <w:p w14:paraId="6083C02F">
      <w:pPr>
        <w:jc w:val="center"/>
        <w:rPr>
          <w:rFonts w:ascii="Times New Roman" w:hAnsi="Times New Roman"/>
          <w:color w:val="auto"/>
          <w:sz w:val="80"/>
          <w:szCs w:val="80"/>
          <w:highlight w:val="none"/>
        </w:rPr>
      </w:pPr>
    </w:p>
    <w:p w14:paraId="20D632C5">
      <w:pPr>
        <w:jc w:val="center"/>
        <w:rPr>
          <w:rFonts w:ascii="Times New Roman" w:hAnsi="Times New Roman"/>
          <w:color w:val="auto"/>
          <w:sz w:val="80"/>
          <w:szCs w:val="80"/>
          <w:highlight w:val="none"/>
        </w:rPr>
      </w:pPr>
    </w:p>
    <w:p w14:paraId="1FF07E61">
      <w:pPr>
        <w:pStyle w:val="24"/>
        <w:rPr>
          <w:rFonts w:ascii="Times New Roman" w:hAnsi="Times New Roman"/>
          <w:color w:val="auto"/>
          <w:sz w:val="80"/>
          <w:szCs w:val="80"/>
          <w:highlight w:val="none"/>
        </w:rPr>
      </w:pPr>
    </w:p>
    <w:p w14:paraId="5908F1F3">
      <w:pPr>
        <w:rPr>
          <w:rFonts w:ascii="Times New Roman" w:hAnsi="Times New Roman"/>
          <w:color w:val="auto"/>
          <w:sz w:val="80"/>
          <w:szCs w:val="80"/>
          <w:highlight w:val="none"/>
        </w:rPr>
      </w:pPr>
    </w:p>
    <w:p w14:paraId="667DFED3">
      <w:pPr>
        <w:pStyle w:val="24"/>
        <w:rPr>
          <w:color w:val="auto"/>
        </w:rPr>
      </w:pPr>
    </w:p>
    <w:p w14:paraId="63E15C75">
      <w:pPr>
        <w:jc w:val="center"/>
        <w:rPr>
          <w:rFonts w:ascii="Times New Roman" w:hAnsi="Times New Roman" w:eastAsia="方正小标宋简体"/>
          <w:bCs/>
          <w:color w:val="auto"/>
          <w:sz w:val="80"/>
          <w:szCs w:val="80"/>
          <w:highlight w:val="none"/>
        </w:rPr>
      </w:pPr>
      <w:r>
        <w:rPr>
          <w:rFonts w:ascii="Times New Roman" w:hAnsi="Times New Roman" w:eastAsia="方正小标宋简体"/>
          <w:bCs/>
          <w:color w:val="auto"/>
          <w:sz w:val="80"/>
          <w:szCs w:val="80"/>
          <w:highlight w:val="none"/>
        </w:rPr>
        <w:t>竞争性磋商文件</w:t>
      </w:r>
    </w:p>
    <w:p w14:paraId="3273AE7A">
      <w:pPr>
        <w:jc w:val="center"/>
        <w:rPr>
          <w:rFonts w:ascii="黑体" w:hAnsi="黑体" w:eastAsia="黑体"/>
          <w:color w:val="auto"/>
          <w:sz w:val="28"/>
          <w:szCs w:val="28"/>
          <w:highlight w:val="none"/>
          <w:u w:val="single"/>
        </w:rPr>
      </w:pPr>
    </w:p>
    <w:p w14:paraId="12DE1C1F">
      <w:pPr>
        <w:rPr>
          <w:rFonts w:hint="default" w:ascii="黑体" w:hAnsi="黑体" w:eastAsia="黑体"/>
          <w:color w:val="auto"/>
          <w:sz w:val="28"/>
          <w:szCs w:val="28"/>
          <w:highlight w:val="none"/>
          <w:u w:val="single"/>
          <w:lang w:val="en-US" w:eastAsia="zh-CN"/>
        </w:rPr>
      </w:pPr>
    </w:p>
    <w:p w14:paraId="0D54D646">
      <w:pPr>
        <w:pStyle w:val="24"/>
        <w:rPr>
          <w:color w:val="auto"/>
        </w:rPr>
      </w:pPr>
    </w:p>
    <w:p w14:paraId="530BA918">
      <w:pPr>
        <w:spacing w:line="380" w:lineRule="exact"/>
        <w:ind w:firstLine="840" w:firstLineChars="300"/>
        <w:rPr>
          <w:rFonts w:hint="default" w:ascii="Times New Roman" w:hAnsi="Times New Roman" w:eastAsia="宋体" w:cs="Times New Roman"/>
          <w:color w:val="auto"/>
          <w:kern w:val="2"/>
          <w:sz w:val="21"/>
          <w:szCs w:val="24"/>
          <w:lang w:val="en-US" w:eastAsia="zh-CN" w:bidi="ar-SA"/>
        </w:rPr>
      </w:pPr>
      <w:r>
        <w:rPr>
          <w:rFonts w:ascii="黑体" w:hAnsi="黑体" w:eastAsia="黑体"/>
          <w:color w:val="auto"/>
          <w:sz w:val="28"/>
          <w:szCs w:val="28"/>
          <w:highlight w:val="none"/>
        </w:rPr>
        <w:t>项目编号：</w:t>
      </w:r>
      <w:r>
        <w:rPr>
          <w:rFonts w:hint="eastAsia" w:ascii="Times New Roman" w:hAnsi="Times New Roman" w:eastAsia="宋体" w:cs="Times New Roman"/>
          <w:color w:val="auto"/>
          <w:kern w:val="2"/>
          <w:sz w:val="21"/>
          <w:szCs w:val="24"/>
          <w:lang w:val="en-US" w:eastAsia="zh-CN" w:bidi="ar-SA"/>
        </w:rPr>
        <w:t>HHRMYYYWK-20241206</w:t>
      </w:r>
    </w:p>
    <w:p w14:paraId="4BC2A3E7">
      <w:pPr>
        <w:spacing w:line="380" w:lineRule="exact"/>
        <w:ind w:firstLine="840" w:firstLineChars="300"/>
        <w:rPr>
          <w:rFonts w:hint="eastAsia" w:ascii="黑体" w:hAnsi="黑体" w:eastAsia="黑体"/>
          <w:color w:val="auto"/>
          <w:sz w:val="28"/>
          <w:szCs w:val="28"/>
          <w:highlight w:val="none"/>
        </w:rPr>
      </w:pPr>
    </w:p>
    <w:p w14:paraId="01225324">
      <w:pPr>
        <w:ind w:firstLine="840" w:firstLineChars="3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采购</w:t>
      </w:r>
      <w:r>
        <w:rPr>
          <w:rFonts w:ascii="黑体" w:hAnsi="黑体" w:eastAsia="黑体"/>
          <w:color w:val="auto"/>
          <w:sz w:val="28"/>
          <w:szCs w:val="28"/>
          <w:highlight w:val="none"/>
        </w:rPr>
        <w:t>内容：</w:t>
      </w:r>
      <w:r>
        <w:rPr>
          <w:rFonts w:hint="eastAsia" w:ascii="黑体" w:hAnsi="黑体" w:eastAsia="黑体"/>
          <w:color w:val="auto"/>
          <w:sz w:val="28"/>
          <w:szCs w:val="28"/>
          <w:highlight w:val="none"/>
          <w:lang w:val="en-US" w:eastAsia="zh-CN"/>
        </w:rPr>
        <w:t>洪湖市人民</w:t>
      </w:r>
      <w:r>
        <w:rPr>
          <w:rFonts w:hint="eastAsia" w:ascii="黑体" w:hAnsi="黑体" w:eastAsia="黑体"/>
          <w:color w:val="auto"/>
          <w:sz w:val="28"/>
          <w:szCs w:val="28"/>
          <w:highlight w:val="none"/>
          <w:lang w:val="hr-HR"/>
        </w:rPr>
        <w:t>医院</w:t>
      </w:r>
      <w:r>
        <w:rPr>
          <w:rFonts w:hint="eastAsia" w:ascii="黑体" w:hAnsi="黑体" w:eastAsia="黑体"/>
          <w:color w:val="auto"/>
          <w:sz w:val="28"/>
          <w:szCs w:val="28"/>
          <w:highlight w:val="none"/>
        </w:rPr>
        <w:t>肠道营养制剂服务项目</w:t>
      </w:r>
    </w:p>
    <w:p w14:paraId="1D7C8F00">
      <w:pPr>
        <w:ind w:firstLine="840" w:firstLineChars="300"/>
        <w:rPr>
          <w:rFonts w:ascii="黑体" w:hAnsi="黑体" w:eastAsia="黑体"/>
          <w:color w:val="auto"/>
          <w:sz w:val="28"/>
          <w:szCs w:val="28"/>
          <w:highlight w:val="none"/>
        </w:rPr>
      </w:pPr>
    </w:p>
    <w:p w14:paraId="6924B345">
      <w:pPr>
        <w:rPr>
          <w:rFonts w:ascii="黑体" w:hAnsi="黑体" w:eastAsia="黑体"/>
          <w:color w:val="auto"/>
          <w:sz w:val="28"/>
          <w:szCs w:val="28"/>
          <w:highlight w:val="none"/>
        </w:rPr>
      </w:pPr>
    </w:p>
    <w:p w14:paraId="12724858">
      <w:pPr>
        <w:rPr>
          <w:rFonts w:ascii="黑体" w:hAnsi="黑体" w:eastAsia="黑体"/>
          <w:color w:val="auto"/>
          <w:sz w:val="28"/>
          <w:szCs w:val="28"/>
          <w:highlight w:val="none"/>
        </w:rPr>
      </w:pPr>
    </w:p>
    <w:p w14:paraId="47993AB8">
      <w:pPr>
        <w:pStyle w:val="24"/>
        <w:rPr>
          <w:rFonts w:ascii="黑体" w:hAnsi="黑体" w:eastAsia="黑体"/>
          <w:color w:val="auto"/>
          <w:sz w:val="28"/>
          <w:szCs w:val="28"/>
          <w:highlight w:val="none"/>
        </w:rPr>
      </w:pPr>
    </w:p>
    <w:p w14:paraId="459021AE">
      <w:pPr>
        <w:rPr>
          <w:color w:val="auto"/>
          <w:highlight w:val="none"/>
        </w:rPr>
      </w:pPr>
    </w:p>
    <w:p w14:paraId="3311BE6E">
      <w:pPr>
        <w:spacing w:line="360" w:lineRule="auto"/>
        <w:rPr>
          <w:rFonts w:ascii="黑体" w:hAnsi="黑体" w:eastAsia="黑体"/>
          <w:color w:val="auto"/>
          <w:sz w:val="28"/>
          <w:szCs w:val="28"/>
          <w:highlight w:val="none"/>
        </w:rPr>
      </w:pPr>
    </w:p>
    <w:p w14:paraId="06A1D996">
      <w:pPr>
        <w:tabs>
          <w:tab w:val="left" w:pos="8222"/>
        </w:tabs>
        <w:wordWrap w:val="0"/>
        <w:spacing w:line="360" w:lineRule="auto"/>
        <w:ind w:firstLine="1680" w:firstLineChars="600"/>
        <w:jc w:val="left"/>
        <w:rPr>
          <w:rFonts w:hint="eastAsia" w:ascii="黑体" w:hAnsi="黑体" w:eastAsia="黑体" w:cs="黑体"/>
          <w:b w:val="0"/>
          <w:bCs w:val="0"/>
          <w:color w:val="auto"/>
          <w:sz w:val="28"/>
          <w:szCs w:val="28"/>
          <w:lang w:val="en-US"/>
        </w:rPr>
      </w:pPr>
      <w:r>
        <w:rPr>
          <w:rFonts w:hint="eastAsia" w:ascii="黑体" w:hAnsi="黑体" w:eastAsia="黑体" w:cs="黑体"/>
          <w:b w:val="0"/>
          <w:bCs w:val="0"/>
          <w:color w:val="auto"/>
          <w:sz w:val="28"/>
          <w:szCs w:val="28"/>
        </w:rPr>
        <w:t>采购人：洪湖市</w:t>
      </w:r>
      <w:r>
        <w:rPr>
          <w:rFonts w:hint="eastAsia" w:ascii="黑体" w:hAnsi="黑体" w:eastAsia="黑体" w:cs="黑体"/>
          <w:b w:val="0"/>
          <w:bCs w:val="0"/>
          <w:color w:val="auto"/>
          <w:sz w:val="28"/>
          <w:szCs w:val="28"/>
          <w:lang w:val="en-US" w:eastAsia="zh-CN"/>
        </w:rPr>
        <w:t>人民医院</w:t>
      </w:r>
    </w:p>
    <w:p w14:paraId="07D4248E">
      <w:pPr>
        <w:wordWrap w:val="0"/>
        <w:spacing w:line="360" w:lineRule="auto"/>
        <w:ind w:firstLine="1680" w:firstLineChars="600"/>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代理机构</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洪湖市建坤工程咨询有限公司</w:t>
      </w:r>
    </w:p>
    <w:p w14:paraId="35E19EDC">
      <w:pPr>
        <w:pStyle w:val="22"/>
        <w:tabs>
          <w:tab w:val="left" w:pos="1418"/>
          <w:tab w:val="left" w:pos="1701"/>
          <w:tab w:val="left" w:pos="1843"/>
          <w:tab w:val="left" w:pos="1985"/>
          <w:tab w:val="clear" w:pos="4153"/>
          <w:tab w:val="clear" w:pos="8306"/>
        </w:tabs>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二〇二</w:t>
      </w:r>
      <w:r>
        <w:rPr>
          <w:rFonts w:hint="eastAsia" w:ascii="黑体" w:hAnsi="黑体" w:eastAsia="黑体" w:cs="黑体"/>
          <w:b w:val="0"/>
          <w:bCs w:val="0"/>
          <w:color w:val="auto"/>
          <w:sz w:val="28"/>
          <w:szCs w:val="28"/>
          <w:lang w:eastAsia="zh-CN"/>
        </w:rPr>
        <w:t>四</w:t>
      </w:r>
      <w:r>
        <w:rPr>
          <w:rFonts w:hint="eastAsia" w:ascii="黑体" w:hAnsi="黑体" w:eastAsia="黑体" w:cs="黑体"/>
          <w:b w:val="0"/>
          <w:bCs w:val="0"/>
          <w:color w:val="auto"/>
          <w:sz w:val="28"/>
          <w:szCs w:val="28"/>
        </w:rPr>
        <w:t>年</w:t>
      </w:r>
      <w:r>
        <w:rPr>
          <w:rFonts w:hint="eastAsia" w:ascii="黑体" w:hAnsi="黑体" w:eastAsia="黑体" w:cs="黑体"/>
          <w:b w:val="0"/>
          <w:bCs w:val="0"/>
          <w:color w:val="auto"/>
          <w:sz w:val="28"/>
          <w:szCs w:val="28"/>
          <w:lang w:val="en-US" w:eastAsia="zh-CN"/>
        </w:rPr>
        <w:t>十二月</w:t>
      </w:r>
    </w:p>
    <w:p w14:paraId="0B65EECC">
      <w:pPr>
        <w:pStyle w:val="2"/>
        <w:rPr>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412CB66F">
      <w:pPr>
        <w:spacing w:line="520" w:lineRule="exact"/>
        <w:jc w:val="both"/>
        <w:rPr>
          <w:rFonts w:ascii="Times New Roman" w:hAnsi="Times New Roman" w:eastAsia="方正小标宋简体"/>
          <w:color w:val="auto"/>
          <w:sz w:val="40"/>
          <w:szCs w:val="40"/>
          <w:highlight w:val="none"/>
        </w:rPr>
        <w:sectPr>
          <w:headerReference r:id="rId5" w:type="default"/>
          <w:pgSz w:w="11906" w:h="16838"/>
          <w:pgMar w:top="1440" w:right="1800" w:bottom="1440" w:left="1800" w:header="851" w:footer="992" w:gutter="0"/>
          <w:cols w:space="425" w:num="1"/>
          <w:docGrid w:type="lines" w:linePitch="312" w:charSpace="0"/>
        </w:sectPr>
      </w:pPr>
    </w:p>
    <w:p w14:paraId="0B49BE2A">
      <w:pPr>
        <w:spacing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71C54A23">
      <w:pPr>
        <w:spacing w:line="520" w:lineRule="exact"/>
        <w:rPr>
          <w:rFonts w:ascii="Times New Roman" w:hAnsi="Times New Roman" w:eastAsia="黑体"/>
          <w:color w:val="auto"/>
          <w:sz w:val="24"/>
          <w:szCs w:val="24"/>
          <w:highlight w:val="none"/>
        </w:rPr>
      </w:pPr>
    </w:p>
    <w:p w14:paraId="2787FBDD">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第一章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w:t>
      </w:r>
      <w:r>
        <w:rPr>
          <w:rFonts w:hint="eastAsia" w:ascii="仿宋_GB2312" w:hAnsi="Times New Roman" w:eastAsia="仿宋_GB2312"/>
          <w:color w:val="auto"/>
          <w:sz w:val="24"/>
          <w:szCs w:val="24"/>
          <w:highlight w:val="none"/>
          <w:lang w:eastAsia="zh-CN"/>
        </w:rPr>
        <w:t>公告</w:t>
      </w:r>
      <w:r>
        <w:rPr>
          <w:rFonts w:hint="eastAsia" w:ascii="仿宋_GB2312" w:hAnsi="Times New Roman" w:eastAsia="仿宋_GB2312"/>
          <w:color w:val="auto"/>
          <w:sz w:val="24"/>
          <w:szCs w:val="24"/>
          <w:highlight w:val="none"/>
          <w:lang w:val="en-US" w:eastAsia="zh-CN"/>
        </w:rPr>
        <w:t xml:space="preserve">  </w:t>
      </w:r>
      <w:r>
        <w:rPr>
          <w:rFonts w:ascii="仿宋_GB2312" w:hAnsi="Times New Roman" w:eastAsia="仿宋_GB2312"/>
          <w:color w:val="auto"/>
          <w:sz w:val="24"/>
          <w:szCs w:val="24"/>
          <w:highlight w:val="none"/>
        </w:rPr>
        <w:t>·········································································0</w:t>
      </w:r>
      <w:r>
        <w:rPr>
          <w:rFonts w:hint="eastAsia" w:ascii="仿宋_GB2312" w:hAnsi="Times New Roman" w:eastAsia="仿宋_GB2312"/>
          <w:color w:val="auto"/>
          <w:sz w:val="24"/>
          <w:szCs w:val="24"/>
          <w:highlight w:val="none"/>
          <w:lang w:val="en-US" w:eastAsia="zh-CN"/>
        </w:rPr>
        <w:t>3</w:t>
      </w:r>
    </w:p>
    <w:p w14:paraId="4FE0D3C1">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第二章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磋商须知············································································0</w:t>
      </w:r>
      <w:r>
        <w:rPr>
          <w:rFonts w:hint="eastAsia" w:ascii="仿宋_GB2312" w:hAnsi="Times New Roman" w:eastAsia="仿宋_GB2312"/>
          <w:color w:val="auto"/>
          <w:sz w:val="24"/>
          <w:szCs w:val="24"/>
          <w:highlight w:val="none"/>
          <w:lang w:val="en-US" w:eastAsia="zh-CN"/>
        </w:rPr>
        <w:t>7</w:t>
      </w:r>
    </w:p>
    <w:p w14:paraId="6759B247">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第三章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采购货物（服务）技术参数、规格及要求··································</w:t>
      </w:r>
      <w:r>
        <w:rPr>
          <w:rFonts w:hint="eastAsia" w:ascii="仿宋_GB2312" w:hAnsi="Times New Roman" w:eastAsia="仿宋_GB2312"/>
          <w:color w:val="auto"/>
          <w:sz w:val="24"/>
          <w:szCs w:val="24"/>
          <w:highlight w:val="none"/>
          <w:lang w:val="en-US" w:eastAsia="zh-CN"/>
        </w:rPr>
        <w:t>15</w:t>
      </w:r>
    </w:p>
    <w:p w14:paraId="61D2C744">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第四章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评审办法及评审标准·····························································</w:t>
      </w:r>
      <w:r>
        <w:rPr>
          <w:rFonts w:hint="eastAsia" w:ascii="仿宋_GB2312" w:hAnsi="Times New Roman" w:eastAsia="仿宋_GB2312"/>
          <w:color w:val="auto"/>
          <w:sz w:val="24"/>
          <w:szCs w:val="24"/>
          <w:highlight w:val="none"/>
          <w:lang w:val="en-US" w:eastAsia="zh-CN"/>
        </w:rPr>
        <w:t>27</w:t>
      </w:r>
    </w:p>
    <w:p w14:paraId="117FC269">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第五章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合同书（格式）···································································</w:t>
      </w:r>
      <w:r>
        <w:rPr>
          <w:rFonts w:hint="eastAsia" w:ascii="仿宋_GB2312" w:hAnsi="Times New Roman" w:eastAsia="仿宋_GB2312"/>
          <w:color w:val="auto"/>
          <w:sz w:val="24"/>
          <w:szCs w:val="24"/>
          <w:highlight w:val="none"/>
          <w:lang w:val="en-US" w:eastAsia="zh-CN"/>
        </w:rPr>
        <w:t>29</w:t>
      </w:r>
    </w:p>
    <w:p w14:paraId="169F5A80">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第六章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响应文件格式······································································</w:t>
      </w:r>
      <w:r>
        <w:rPr>
          <w:rFonts w:hint="eastAsia" w:ascii="仿宋_GB2312" w:hAnsi="Times New Roman" w:eastAsia="仿宋_GB2312"/>
          <w:color w:val="auto"/>
          <w:sz w:val="24"/>
          <w:szCs w:val="24"/>
          <w:highlight w:val="none"/>
          <w:lang w:val="en-US" w:eastAsia="zh-CN"/>
        </w:rPr>
        <w:t>31</w:t>
      </w:r>
    </w:p>
    <w:p w14:paraId="59AD6C86">
      <w:pPr>
        <w:spacing w:line="480" w:lineRule="auto"/>
        <w:jc w:val="left"/>
        <w:rPr>
          <w:rFonts w:ascii="Times New Roman" w:hAnsi="Times New Roman"/>
          <w:color w:val="auto"/>
          <w:sz w:val="24"/>
          <w:szCs w:val="24"/>
          <w:highlight w:val="none"/>
        </w:rPr>
      </w:pPr>
    </w:p>
    <w:p w14:paraId="3C1DC2A3">
      <w:pPr>
        <w:pStyle w:val="2"/>
        <w:rPr>
          <w:rFonts w:ascii="Times New Roman" w:hAnsi="Times New Roman"/>
          <w:color w:val="auto"/>
          <w:sz w:val="24"/>
          <w:szCs w:val="24"/>
          <w:highlight w:val="none"/>
        </w:rPr>
      </w:pPr>
    </w:p>
    <w:p w14:paraId="006E8756">
      <w:pPr>
        <w:rPr>
          <w:rFonts w:ascii="Times New Roman" w:hAnsi="Times New Roman"/>
          <w:color w:val="auto"/>
          <w:sz w:val="24"/>
          <w:szCs w:val="24"/>
          <w:highlight w:val="none"/>
        </w:rPr>
      </w:pPr>
    </w:p>
    <w:p w14:paraId="4F06AD17">
      <w:pPr>
        <w:pStyle w:val="2"/>
        <w:rPr>
          <w:rFonts w:ascii="Times New Roman" w:hAnsi="Times New Roman"/>
          <w:color w:val="auto"/>
          <w:sz w:val="24"/>
          <w:szCs w:val="24"/>
          <w:highlight w:val="none"/>
        </w:rPr>
      </w:pPr>
    </w:p>
    <w:p w14:paraId="7F47CF0B">
      <w:pPr>
        <w:rPr>
          <w:rFonts w:ascii="Times New Roman" w:hAnsi="Times New Roman"/>
          <w:color w:val="auto"/>
          <w:sz w:val="24"/>
          <w:szCs w:val="24"/>
          <w:highlight w:val="none"/>
        </w:rPr>
      </w:pPr>
    </w:p>
    <w:p w14:paraId="2B4006E5">
      <w:pPr>
        <w:pStyle w:val="2"/>
        <w:rPr>
          <w:rFonts w:ascii="Times New Roman" w:hAnsi="Times New Roman"/>
          <w:color w:val="auto"/>
          <w:sz w:val="24"/>
          <w:szCs w:val="24"/>
          <w:highlight w:val="none"/>
        </w:rPr>
      </w:pPr>
    </w:p>
    <w:p w14:paraId="7CDC63F7">
      <w:pPr>
        <w:rPr>
          <w:rFonts w:ascii="Times New Roman" w:hAnsi="Times New Roman"/>
          <w:color w:val="auto"/>
          <w:sz w:val="24"/>
          <w:szCs w:val="24"/>
          <w:highlight w:val="none"/>
        </w:rPr>
      </w:pPr>
    </w:p>
    <w:p w14:paraId="24478B4D">
      <w:pPr>
        <w:pStyle w:val="2"/>
        <w:rPr>
          <w:rFonts w:ascii="Times New Roman" w:hAnsi="Times New Roman"/>
          <w:color w:val="auto"/>
          <w:sz w:val="24"/>
          <w:szCs w:val="24"/>
          <w:highlight w:val="none"/>
        </w:rPr>
      </w:pPr>
    </w:p>
    <w:p w14:paraId="331464CF">
      <w:pPr>
        <w:rPr>
          <w:rFonts w:ascii="Times New Roman" w:hAnsi="Times New Roman"/>
          <w:color w:val="auto"/>
          <w:sz w:val="24"/>
          <w:szCs w:val="24"/>
          <w:highlight w:val="none"/>
        </w:rPr>
      </w:pPr>
    </w:p>
    <w:p w14:paraId="6A9B8B74">
      <w:pPr>
        <w:pStyle w:val="2"/>
        <w:rPr>
          <w:rFonts w:ascii="Times New Roman" w:hAnsi="Times New Roman"/>
          <w:color w:val="auto"/>
          <w:sz w:val="24"/>
          <w:szCs w:val="24"/>
          <w:highlight w:val="none"/>
        </w:rPr>
      </w:pPr>
    </w:p>
    <w:p w14:paraId="7E97CC94">
      <w:pPr>
        <w:rPr>
          <w:rFonts w:ascii="Times New Roman" w:hAnsi="Times New Roman"/>
          <w:color w:val="auto"/>
          <w:sz w:val="24"/>
          <w:szCs w:val="24"/>
          <w:highlight w:val="none"/>
        </w:rPr>
      </w:pPr>
    </w:p>
    <w:p w14:paraId="403E3FD6">
      <w:pPr>
        <w:pStyle w:val="2"/>
        <w:rPr>
          <w:rFonts w:ascii="Times New Roman" w:hAnsi="Times New Roman"/>
          <w:color w:val="auto"/>
          <w:sz w:val="24"/>
          <w:szCs w:val="24"/>
          <w:highlight w:val="none"/>
        </w:rPr>
      </w:pPr>
    </w:p>
    <w:p w14:paraId="7BE502F7">
      <w:pPr>
        <w:rPr>
          <w:rFonts w:ascii="Times New Roman" w:hAnsi="Times New Roman"/>
          <w:color w:val="auto"/>
          <w:sz w:val="24"/>
          <w:szCs w:val="24"/>
          <w:highlight w:val="none"/>
        </w:rPr>
      </w:pPr>
    </w:p>
    <w:p w14:paraId="06F46F1B">
      <w:pPr>
        <w:pStyle w:val="2"/>
        <w:rPr>
          <w:rFonts w:ascii="Times New Roman" w:hAnsi="Times New Roman"/>
          <w:color w:val="auto"/>
          <w:sz w:val="24"/>
          <w:szCs w:val="24"/>
          <w:highlight w:val="none"/>
        </w:rPr>
      </w:pPr>
    </w:p>
    <w:p w14:paraId="51D12705">
      <w:pPr>
        <w:rPr>
          <w:rFonts w:ascii="Times New Roman" w:hAnsi="Times New Roman"/>
          <w:color w:val="auto"/>
          <w:sz w:val="24"/>
          <w:szCs w:val="24"/>
          <w:highlight w:val="none"/>
        </w:rPr>
      </w:pPr>
    </w:p>
    <w:p w14:paraId="01C4FA74">
      <w:pPr>
        <w:pStyle w:val="2"/>
        <w:rPr>
          <w:color w:val="auto"/>
          <w:highlight w:val="none"/>
        </w:rPr>
      </w:pPr>
    </w:p>
    <w:p w14:paraId="244EB370">
      <w:pPr>
        <w:widowControl/>
        <w:jc w:val="left"/>
        <w:rPr>
          <w:rFonts w:ascii="Times New Roman" w:hAnsi="Times New Roman"/>
          <w:color w:val="auto"/>
          <w:sz w:val="24"/>
          <w:szCs w:val="24"/>
          <w:highlight w:val="none"/>
        </w:rPr>
        <w:sectPr>
          <w:pgSz w:w="11906" w:h="16838"/>
          <w:pgMar w:top="1440" w:right="1800" w:bottom="1440" w:left="1800" w:header="851" w:footer="992" w:gutter="0"/>
          <w:cols w:space="425" w:num="1"/>
          <w:docGrid w:type="lines" w:linePitch="312" w:charSpace="0"/>
        </w:sectPr>
      </w:pPr>
    </w:p>
    <w:p w14:paraId="6B9B8A2B">
      <w:pPr>
        <w:spacing w:line="520" w:lineRule="exact"/>
        <w:jc w:val="center"/>
        <w:rPr>
          <w:rFonts w:ascii="Times New Roman" w:hAnsi="Times New Roman"/>
          <w:b/>
          <w:bCs/>
          <w:color w:val="auto"/>
          <w:sz w:val="36"/>
          <w:szCs w:val="36"/>
          <w:highlight w:val="none"/>
        </w:rPr>
        <w:sectPr>
          <w:headerReference r:id="rId6" w:type="default"/>
          <w:pgSz w:w="11906" w:h="16838"/>
          <w:pgMar w:top="1418" w:right="1418" w:bottom="1418" w:left="1418" w:header="851" w:footer="992" w:gutter="0"/>
          <w:cols w:space="425" w:num="1"/>
          <w:docGrid w:type="lines" w:linePitch="312" w:charSpace="0"/>
        </w:sectPr>
      </w:pPr>
    </w:p>
    <w:p w14:paraId="06480399">
      <w:pPr>
        <w:pStyle w:val="24"/>
        <w:rPr>
          <w:color w:val="auto"/>
          <w:highlight w:val="none"/>
        </w:rPr>
      </w:pPr>
    </w:p>
    <w:p w14:paraId="7391A9B7">
      <w:pPr>
        <w:spacing w:line="500" w:lineRule="exact"/>
        <w:jc w:val="center"/>
        <w:rPr>
          <w:rFonts w:hint="eastAsia" w:eastAsia="宋体"/>
          <w:bCs/>
          <w:color w:val="auto"/>
          <w:sz w:val="36"/>
          <w:szCs w:val="36"/>
          <w:highlight w:val="none"/>
          <w:lang w:eastAsia="zh-CN"/>
        </w:rPr>
      </w:pPr>
      <w:r>
        <w:rPr>
          <w:b/>
          <w:bCs w:val="0"/>
          <w:color w:val="auto"/>
          <w:sz w:val="36"/>
          <w:szCs w:val="36"/>
          <w:highlight w:val="none"/>
        </w:rPr>
        <w:t>第一章</w:t>
      </w:r>
      <w:r>
        <w:rPr>
          <w:rFonts w:hint="eastAsia"/>
          <w:b/>
          <w:bCs w:val="0"/>
          <w:color w:val="auto"/>
          <w:sz w:val="36"/>
          <w:szCs w:val="36"/>
          <w:highlight w:val="none"/>
          <w:lang w:val="en-US" w:eastAsia="zh-CN"/>
        </w:rPr>
        <w:t xml:space="preserve"> </w:t>
      </w:r>
      <w:r>
        <w:rPr>
          <w:rFonts w:hint="eastAsia"/>
          <w:b/>
          <w:bCs w:val="0"/>
          <w:color w:val="auto"/>
          <w:sz w:val="36"/>
          <w:szCs w:val="36"/>
          <w:highlight w:val="none"/>
          <w:lang w:eastAsia="zh-CN"/>
        </w:rPr>
        <w:t>磋商公告</w:t>
      </w:r>
    </w:p>
    <w:p w14:paraId="574F7820">
      <w:pPr>
        <w:spacing w:line="500" w:lineRule="exact"/>
        <w:rPr>
          <w:bCs/>
          <w:color w:val="auto"/>
          <w:sz w:val="24"/>
          <w:highlight w:val="none"/>
          <w:lang w:bidi="ar-EG"/>
        </w:rPr>
      </w:pPr>
    </w:p>
    <w:p w14:paraId="03CDB684">
      <w:pPr>
        <w:pStyle w:val="27"/>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洪湖市建坤工程咨询有限公司受洪湖市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人民医院的</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委托，就“</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hr-HR" w:eastAsia="zh-CN"/>
        </w:rPr>
        <w:t>医院</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肠道营养制剂服务项目”所需</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服务</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进行</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竞争性磋商</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采购，潜在供应商应</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按本公告要求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获取采购文件，并于202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点</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0分（北京时间）前提交响应文件。</w:t>
      </w:r>
    </w:p>
    <w:p w14:paraId="15553C23">
      <w:pPr>
        <w:pStyle w:val="27"/>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p>
    <w:p w14:paraId="66BE8C87">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一、项目基本情况</w:t>
      </w:r>
    </w:p>
    <w:p w14:paraId="1CC96FF6">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1、项目编号：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HHRMYYYWK-20241206</w:t>
      </w:r>
    </w:p>
    <w:p w14:paraId="64E1980E">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、项目名称：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rPr>
        <w:t>肠道营养制剂服务项目</w:t>
      </w:r>
    </w:p>
    <w:p w14:paraId="610AAC4E">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、采购方式：竞争性磋商</w:t>
      </w:r>
    </w:p>
    <w:p w14:paraId="527CBC1E">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、预算金额：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39万元，按需采购，据实结算</w:t>
      </w:r>
    </w:p>
    <w:p w14:paraId="01A83F43">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、最高限价：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39万元，按需采购，据实结算</w:t>
      </w:r>
    </w:p>
    <w:p w14:paraId="370CC421">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4"/>
          <w:szCs w:val="24"/>
          <w:highlight w:val="none"/>
          <w:shd w:val="clear" w:fill="FFFFFF"/>
        </w:rPr>
        <w:t>、采购需求：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本项目共为 2 个项目包，洪湖市人民医院肠道营养制剂服务项目预算金额39万元仅为三个月的预估金额，供应商应根据采购清单报各项单价。实际结算金额为各项单价*数量，按需配送，据实结算，项目的服务地点、服务期、主要技术及服务要求等详见第三章项目采购需求。</w:t>
      </w:r>
    </w:p>
    <w:p w14:paraId="3322BD31">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三个月</w:t>
      </w:r>
      <w:bookmarkStart w:id="6" w:name="_GoBack"/>
      <w:bookmarkEnd w:id="6"/>
    </w:p>
    <w:p w14:paraId="70643B77">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caps w:val="0"/>
          <w:color w:val="auto"/>
          <w:spacing w:val="0"/>
          <w:sz w:val="24"/>
          <w:szCs w:val="24"/>
          <w:highlight w:val="none"/>
          <w:shd w:val="clear" w:fill="FFFFFF"/>
        </w:rPr>
        <w:t>、本项目（是/否）接受联合体投标：否</w:t>
      </w:r>
    </w:p>
    <w:p w14:paraId="03792C33">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4"/>
          <w:szCs w:val="24"/>
          <w:highlight w:val="none"/>
          <w:shd w:val="clear" w:fill="FFFFFF"/>
        </w:rPr>
        <w:t>、是否可采购进口产品：否</w:t>
      </w:r>
    </w:p>
    <w:p w14:paraId="62C01913">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10、本项目</w:t>
      </w:r>
      <w:r>
        <w:rPr>
          <w:rFonts w:hint="eastAsia" w:asciiTheme="minorEastAsia" w:hAnsiTheme="minorEastAsia" w:eastAsiaTheme="minorEastAsia" w:cstheme="minorEastAsia"/>
          <w:i w:val="0"/>
          <w:caps w:val="0"/>
          <w:color w:val="auto"/>
          <w:spacing w:val="0"/>
          <w:sz w:val="24"/>
          <w:szCs w:val="24"/>
          <w:highlight w:val="none"/>
          <w:shd w:val="clear" w:fill="FFFFFF"/>
        </w:rPr>
        <w:t>（是/否</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接受合同分包：否</w:t>
      </w:r>
    </w:p>
    <w:p w14:paraId="7DADE108">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11、本项目（是/否）专门面向中小微企业：是</w:t>
      </w:r>
    </w:p>
    <w:p w14:paraId="0DFBAD0C">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p>
    <w:p w14:paraId="1AF0871A">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二、申请人的资格要求</w:t>
      </w:r>
    </w:p>
    <w:p w14:paraId="181FB57B">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1、满足《中华人民共和国政府采购法》第二十二条规定，即：</w:t>
      </w:r>
    </w:p>
    <w:p w14:paraId="0A116DB6">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（1）具有独立承担民事责任的能力；</w:t>
      </w:r>
    </w:p>
    <w:p w14:paraId="348EC5EC">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（2）具有良好的商业信誉和健全的财务会计制度；</w:t>
      </w:r>
    </w:p>
    <w:p w14:paraId="1B5111C4">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（3）具有履行合同所必需的设备和专业技术能力；</w:t>
      </w:r>
    </w:p>
    <w:p w14:paraId="0BA2FCE2">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（4）有依法缴纳税收和社会保障资金的良好记录；</w:t>
      </w:r>
    </w:p>
    <w:p w14:paraId="4B3915BB">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（5）参加政府采购活动前三年内，在经营活动中没有重大违法记录；</w:t>
      </w:r>
    </w:p>
    <w:p w14:paraId="71EEA1E2">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（6）法律、行政法规规定的其他条件。</w:t>
      </w:r>
    </w:p>
    <w:p w14:paraId="356B4660">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3C7B0E6D">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26DE1643">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22D23B08">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5、落实政府采购政策需满足的资格要求：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无</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p>
    <w:p w14:paraId="5CF99D58">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auto"/>
          <w:spacing w:val="0"/>
          <w:sz w:val="24"/>
          <w:szCs w:val="24"/>
          <w:highlight w:val="none"/>
          <w:shd w:val="clear" w:fill="FFFFFF"/>
          <w:lang w:val="hr-HR"/>
        </w:rPr>
      </w:pPr>
      <w:r>
        <w:rPr>
          <w:rFonts w:hint="eastAsia" w:asciiTheme="minorEastAsia" w:hAnsiTheme="minorEastAsia" w:eastAsiaTheme="minorEastAsia" w:cstheme="minorEastAsia"/>
          <w:i w:val="0"/>
          <w:caps w:val="0"/>
          <w:color w:val="auto"/>
          <w:spacing w:val="0"/>
          <w:sz w:val="24"/>
          <w:szCs w:val="24"/>
          <w:highlight w:val="none"/>
          <w:shd w:val="clear" w:fill="FFFFFF"/>
        </w:rPr>
        <w:t>6、本项目的特定资格要求：</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同一供应商可参与多个包</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投标</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，但只能成交一个包。</w:t>
      </w:r>
    </w:p>
    <w:p w14:paraId="7EAC4892">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三、获取采购文件</w:t>
      </w:r>
    </w:p>
    <w:p w14:paraId="785DAC8F">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1、时间：202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9 </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13 </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p w14:paraId="56D443A8">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洪湖市新堤茅江大道兴业小区103号门面洪湖市建坤工程咨询有限公司</w:t>
      </w:r>
    </w:p>
    <w:p w14:paraId="15ABBFB4">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有意参与本项目的潜在供应商在公告期内填写《供应商登记表》并加盖公章以邮件附件形式发送至指定电子邮箱：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begin"/>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instrText xml:space="preserve"> HYPERLINK "mailto:2101923491@qq.com%EF%BC%9B%E7%99%BB%E8%AE%B0" </w:instrTex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separate"/>
      </w:r>
      <w:r>
        <w:rPr>
          <w:rFonts w:hint="eastAsia" w:asciiTheme="minorEastAsia" w:hAnsiTheme="minorEastAsia" w:eastAsiaTheme="minorEastAsia" w:cstheme="minorEastAsia"/>
          <w:i w:val="0"/>
          <w:caps w:val="0"/>
          <w:color w:val="auto"/>
          <w:spacing w:val="0"/>
          <w:sz w:val="24"/>
          <w:szCs w:val="24"/>
          <w:highlight w:val="none"/>
          <w:shd w:val="clear" w:fill="FFFFFF"/>
        </w:rPr>
        <w:t>2101923491@qq.com；登记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表内容包括：参与项目的名称、供应商名称、联系人、联系人电话、联系人邮箱，并在附件添加营业执照的原件扫描件，法定代表人授权委托书及委托人身份证原件扫描件。</w:t>
      </w:r>
    </w:p>
    <w:p w14:paraId="410A4386">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四、响应文件提交</w:t>
      </w:r>
    </w:p>
    <w:p w14:paraId="3A0D2379">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1、开始时间：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12</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 19日8时</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111C1414">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2、截止时间：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2024年12月19日9时30分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18CABC6">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b/>
          <w:i w:val="0"/>
          <w:caps w:val="0"/>
          <w:color w:val="auto"/>
          <w:spacing w:val="0"/>
          <w:sz w:val="27"/>
          <w:szCs w:val="27"/>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3、地点：洪湖市新堤茅江大道兴业小区103号门面洪湖市建坤工程咨询有限公司</w:t>
      </w:r>
    </w:p>
    <w:p w14:paraId="2C932AE0">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五、开启</w:t>
      </w:r>
    </w:p>
    <w:p w14:paraId="65F9A569">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2024年12月19 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26F18F49">
      <w:pPr>
        <w:pStyle w:val="27"/>
        <w:keepNext w:val="0"/>
        <w:keepLines w:val="0"/>
        <w:widowControl/>
        <w:suppressLineNumbers w:val="0"/>
        <w:shd w:val="clear" w:fill="FFFFFF"/>
        <w:spacing w:before="0" w:beforeAutospacing="0" w:after="30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2.地点：洪湖市新堤茅江大道兴业小区103号门面洪湖市建坤工程咨询有限公司</w:t>
      </w:r>
    </w:p>
    <w:p w14:paraId="1135B351">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六、公告期限</w:t>
      </w:r>
    </w:p>
    <w:p w14:paraId="6D424C74">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自本公告发布之日起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个工作日。</w:t>
      </w:r>
    </w:p>
    <w:p w14:paraId="702DF420">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七、其他补充事宜</w:t>
      </w:r>
    </w:p>
    <w:p w14:paraId="7E0E73EB">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采购项目需要落实的政府采购政策：落实政府采购强制、优先采购节能产品政策；政府采购优先采购环保产品政策；政府采购促进中小企业发展（监狱企业、残疾人福利性单位视同小微企业）政策：对于未预留份额专门面向中小企业的政府采购货物或服务项目，以及预留份额政府采购货物或服务项目中的非预留部分标项，对小型和微型企业的投标报价给予20%的扣除，用扣除后的价格参与评审。</w:t>
      </w:r>
    </w:p>
    <w:p w14:paraId="20A3D4A7">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2、本项目不收取投标保证金，不收取招标文件工本费。</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br w:type="textWrapping"/>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3、质疑：投标人认为采购文件、采购过程和中标（成交）结果使自己的权益受到损害的，可以在知道或者应知其权益受到损害之日起7个工作日内，以书面形式向采购人或</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洪湖市建坤工程咨询有限公司</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提出质疑。联系人：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周丽</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；联系电话：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13277333729</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；联系地址：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w:t>
      </w:r>
    </w:p>
    <w:p w14:paraId="74CCABD8">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、代理服务费收费标准：根据国家发展计划委员会计价格【2002】1980号、发改办价格【2003】857号文件标准按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服务</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类向中标（成交）供应商收取。</w:t>
      </w:r>
    </w:p>
    <w:p w14:paraId="3E0F15E3">
      <w:pPr>
        <w:pStyle w:val="27"/>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八、凡对本次采购提出询问，请按以下方式联系</w:t>
      </w:r>
    </w:p>
    <w:p w14:paraId="2902FE03">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1、采购人信息</w:t>
      </w:r>
    </w:p>
    <w:p w14:paraId="2460DE8F">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名   称：</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04ED7E8C">
      <w:pPr>
        <w:pStyle w:val="27"/>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color w:val="auto"/>
          <w:szCs w:val="24"/>
        </w:rPr>
        <w:t>湖北省洪湖市洪林路22号</w:t>
      </w:r>
    </w:p>
    <w:p w14:paraId="55ADAB95">
      <w:pPr>
        <w:pStyle w:val="27"/>
        <w:keepNext w:val="0"/>
        <w:keepLines w:val="0"/>
        <w:widowControl/>
        <w:suppressLineNumbers w:val="0"/>
        <w:shd w:val="clear" w:fill="FFFFFF"/>
        <w:spacing w:before="0" w:beforeAutospacing="0" w:after="15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13507265422</w:t>
      </w:r>
    </w:p>
    <w:p w14:paraId="32F93C48">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2、采购代理机构信息</w:t>
      </w:r>
    </w:p>
    <w:p w14:paraId="46380F9B">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名   称：洪湖市建坤工程咨询有限公司</w:t>
      </w:r>
    </w:p>
    <w:p w14:paraId="71836436">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p>
    <w:p w14:paraId="37E1CDC4">
      <w:pPr>
        <w:pStyle w:val="27"/>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506688B6">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3、项目联系方式</w:t>
      </w:r>
    </w:p>
    <w:p w14:paraId="15BF0919">
      <w:pPr>
        <w:pStyle w:val="27"/>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项目联系人：</w:t>
      </w:r>
      <w:r>
        <w:rPr>
          <w:rFonts w:hint="eastAsia" w:asciiTheme="minorEastAsia" w:hAnsiTheme="minorEastAsia" w:cstheme="minorEastAsia"/>
          <w:i w:val="0"/>
          <w:caps w:val="0"/>
          <w:color w:val="auto"/>
          <w:spacing w:val="0"/>
          <w:sz w:val="24"/>
          <w:szCs w:val="24"/>
          <w:highlight w:val="none"/>
          <w:shd w:val="clear" w:fill="FFFFFF"/>
          <w:lang w:eastAsia="zh-CN"/>
        </w:rPr>
        <w:t>周丽</w:t>
      </w:r>
    </w:p>
    <w:p w14:paraId="54E6DECF">
      <w:pPr>
        <w:pStyle w:val="27"/>
        <w:keepNext w:val="0"/>
        <w:keepLines w:val="0"/>
        <w:widowControl/>
        <w:suppressLineNumbers w:val="0"/>
        <w:shd w:val="clear" w:fill="FFFFFF"/>
        <w:spacing w:before="0" w:beforeAutospacing="0" w:after="15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电   话：</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20EA86AE">
      <w:pPr>
        <w:pStyle w:val="27"/>
        <w:keepNext w:val="0"/>
        <w:keepLines w:val="0"/>
        <w:widowControl/>
        <w:suppressLineNumbers w:val="0"/>
        <w:shd w:val="clear" w:fill="FFFFFF"/>
        <w:spacing w:before="0" w:beforeAutospacing="0" w:after="15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邮</w:t>
      </w:r>
      <w:r>
        <w:rPr>
          <w:rFonts w:hint="eastAsia" w:asciiTheme="minorEastAsia" w:hAnsiTheme="minorEastAsia" w:eastAsiaTheme="minorEastAsia" w:cstheme="minorEastAsia"/>
          <w:i w:val="0"/>
          <w:caps w:val="0"/>
          <w:color w:val="auto"/>
          <w:spacing w:val="0"/>
          <w:sz w:val="24"/>
          <w:szCs w:val="24"/>
          <w:highlight w:val="none"/>
          <w:shd w:val="clear" w:fill="FFFFFF"/>
        </w:rPr>
        <w:t>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2101923491@qq.com</w:t>
      </w:r>
    </w:p>
    <w:p w14:paraId="31A9D8D2">
      <w:pPr>
        <w:rPr>
          <w:rFonts w:hint="eastAsia" w:asciiTheme="minorEastAsia" w:hAnsiTheme="minorEastAsia" w:eastAsiaTheme="minorEastAsia" w:cstheme="minorEastAsia"/>
          <w:color w:val="auto"/>
          <w:highlight w:val="none"/>
        </w:rPr>
      </w:pPr>
    </w:p>
    <w:p w14:paraId="41D58867">
      <w:pPr>
        <w:rPr>
          <w:color w:val="auto"/>
          <w:highlight w:val="none"/>
          <w:lang w:val="hr-HR"/>
        </w:rPr>
      </w:pPr>
    </w:p>
    <w:p w14:paraId="27DCEC3B">
      <w:pPr>
        <w:spacing w:line="440" w:lineRule="exact"/>
        <w:ind w:right="480"/>
        <w:jc w:val="both"/>
        <w:rPr>
          <w:rFonts w:ascii="Times New Roman" w:hAnsi="Times New Roman" w:eastAsia="方正小标宋简体"/>
          <w:color w:val="auto"/>
          <w:sz w:val="40"/>
          <w:szCs w:val="40"/>
          <w:highlight w:val="none"/>
          <w:lang w:val="hr-HR" w:bidi="ar-EG"/>
        </w:rPr>
      </w:pPr>
    </w:p>
    <w:p w14:paraId="3FBC2540">
      <w:pPr>
        <w:spacing w:line="440" w:lineRule="exact"/>
        <w:ind w:right="480"/>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lang w:val="hr-HR" w:bidi="ar-EG"/>
        </w:rPr>
        <w:t>第二章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bCs/>
          <w:color w:val="auto"/>
          <w:sz w:val="40"/>
          <w:szCs w:val="40"/>
          <w:highlight w:val="none"/>
        </w:rPr>
        <w:t>磋</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商</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须</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知</w:t>
      </w:r>
    </w:p>
    <w:p w14:paraId="08FFFA93">
      <w:pPr>
        <w:spacing w:line="520" w:lineRule="exact"/>
        <w:jc w:val="center"/>
        <w:rPr>
          <w:rFonts w:ascii="Times New Roman" w:hAnsi="Times New Roman"/>
          <w:color w:val="auto"/>
          <w:szCs w:val="28"/>
          <w:highlight w:val="none"/>
        </w:rPr>
      </w:pPr>
    </w:p>
    <w:p w14:paraId="39DFEDD8">
      <w:pPr>
        <w:spacing w:afterLines="50"/>
        <w:jc w:val="center"/>
        <w:rPr>
          <w:rFonts w:ascii="Times New Roman" w:hAnsi="Times New Roman"/>
          <w:color w:val="auto"/>
          <w:sz w:val="28"/>
          <w:szCs w:val="28"/>
          <w:highlight w:val="none"/>
        </w:rPr>
      </w:pPr>
      <w:r>
        <w:rPr>
          <w:rFonts w:ascii="Times New Roman" w:hAnsi="Times New Roman"/>
          <w:color w:val="auto"/>
          <w:sz w:val="28"/>
          <w:szCs w:val="28"/>
          <w:highlight w:val="none"/>
        </w:rPr>
        <w:t>磋商须知前附表</w:t>
      </w:r>
    </w:p>
    <w:tbl>
      <w:tblPr>
        <w:tblStyle w:val="3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ACB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C755215">
            <w:pPr>
              <w:ind w:left="36" w:leftChars="-50" w:right="-80"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noWrap w:val="0"/>
            <w:vAlign w:val="center"/>
          </w:tcPr>
          <w:p w14:paraId="32E63849">
            <w:pPr>
              <w:jc w:val="center"/>
              <w:rPr>
                <w:color w:val="auto"/>
                <w:kern w:val="0"/>
                <w:sz w:val="24"/>
                <w:highlight w:val="none"/>
              </w:rPr>
            </w:pPr>
            <w:r>
              <w:rPr>
                <w:rFonts w:hint="eastAsia" w:cs="宋体"/>
                <w:color w:val="auto"/>
                <w:kern w:val="0"/>
                <w:sz w:val="24"/>
                <w:highlight w:val="none"/>
              </w:rPr>
              <w:t>名称</w:t>
            </w:r>
          </w:p>
        </w:tc>
        <w:tc>
          <w:tcPr>
            <w:tcW w:w="6429" w:type="dxa"/>
            <w:noWrap w:val="0"/>
            <w:vAlign w:val="center"/>
          </w:tcPr>
          <w:p w14:paraId="73C25E53">
            <w:pPr>
              <w:jc w:val="center"/>
              <w:rPr>
                <w:color w:val="auto"/>
                <w:kern w:val="0"/>
                <w:sz w:val="24"/>
                <w:highlight w:val="none"/>
              </w:rPr>
            </w:pPr>
            <w:r>
              <w:rPr>
                <w:rFonts w:hint="eastAsia" w:cs="宋体"/>
                <w:color w:val="auto"/>
                <w:kern w:val="0"/>
                <w:sz w:val="24"/>
                <w:highlight w:val="none"/>
              </w:rPr>
              <w:t>内</w:t>
            </w:r>
            <w:r>
              <w:rPr>
                <w:rFonts w:hint="eastAsia" w:cs="宋体"/>
                <w:color w:val="auto"/>
                <w:kern w:val="0"/>
                <w:sz w:val="24"/>
                <w:highlight w:val="none"/>
                <w:lang w:val="en-US" w:eastAsia="zh-CN"/>
              </w:rPr>
              <w:t xml:space="preserve">   </w:t>
            </w:r>
            <w:r>
              <w:rPr>
                <w:rFonts w:hint="eastAsia" w:cs="宋体"/>
                <w:color w:val="auto"/>
                <w:kern w:val="0"/>
                <w:sz w:val="24"/>
                <w:highlight w:val="none"/>
              </w:rPr>
              <w:t>容</w:t>
            </w:r>
          </w:p>
        </w:tc>
      </w:tr>
      <w:tr w14:paraId="6D9F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3317F1D">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1277" w:type="dxa"/>
            <w:noWrap w:val="0"/>
            <w:vAlign w:val="center"/>
          </w:tcPr>
          <w:p w14:paraId="08097F39">
            <w:pPr>
              <w:rPr>
                <w:color w:val="auto"/>
                <w:kern w:val="0"/>
                <w:sz w:val="24"/>
                <w:highlight w:val="none"/>
              </w:rPr>
            </w:pPr>
            <w:r>
              <w:rPr>
                <w:rFonts w:hint="eastAsia" w:cs="宋体"/>
                <w:color w:val="auto"/>
                <w:kern w:val="0"/>
                <w:sz w:val="24"/>
                <w:highlight w:val="none"/>
              </w:rPr>
              <w:t>项目编号</w:t>
            </w:r>
          </w:p>
        </w:tc>
        <w:tc>
          <w:tcPr>
            <w:tcW w:w="6429" w:type="dxa"/>
            <w:noWrap w:val="0"/>
            <w:vAlign w:val="center"/>
          </w:tcPr>
          <w:p w14:paraId="41187B31">
            <w:pPr>
              <w:rPr>
                <w:rFonts w:hint="default"/>
                <w:color w:val="auto"/>
                <w:kern w:val="0"/>
                <w:sz w:val="24"/>
                <w:highlight w:val="none"/>
                <w:lang w:val="en-US"/>
              </w:rPr>
            </w:pP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&lt;MK&gt;pro.schemecode&lt;/MK&gt;</w:instrText>
            </w:r>
            <w:r>
              <w:rPr>
                <w:rFonts w:hint="eastAsia" w:ascii="Times New Roman" w:hAnsi="Times New Roman" w:eastAsia="宋体" w:cs="Times New Roman"/>
                <w:color w:val="auto"/>
                <w:sz w:val="24"/>
                <w:highlight w:val="none"/>
              </w:rPr>
              <w:fldChar w:fldCharType="end"/>
            </w:r>
          </w:p>
        </w:tc>
      </w:tr>
      <w:tr w14:paraId="613E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noWrap w:val="0"/>
            <w:vAlign w:val="center"/>
          </w:tcPr>
          <w:p w14:paraId="6C554E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1277" w:type="dxa"/>
            <w:noWrap w:val="0"/>
            <w:vAlign w:val="center"/>
          </w:tcPr>
          <w:p w14:paraId="07D792B9">
            <w:pPr>
              <w:rPr>
                <w:color w:val="auto"/>
                <w:kern w:val="0"/>
                <w:sz w:val="24"/>
                <w:highlight w:val="none"/>
              </w:rPr>
            </w:pPr>
            <w:r>
              <w:rPr>
                <w:rFonts w:hint="eastAsia" w:cs="宋体"/>
                <w:color w:val="auto"/>
                <w:kern w:val="0"/>
                <w:sz w:val="24"/>
                <w:highlight w:val="none"/>
              </w:rPr>
              <w:t>项目名称</w:t>
            </w:r>
          </w:p>
        </w:tc>
        <w:tc>
          <w:tcPr>
            <w:tcW w:w="6429" w:type="dxa"/>
            <w:noWrap w:val="0"/>
            <w:vAlign w:val="center"/>
          </w:tcPr>
          <w:p w14:paraId="18C77A3D">
            <w:pPr>
              <w:rPr>
                <w:rFonts w:hint="eastAsia" w:ascii="Times New Roman" w:hAnsi="Times New Roman" w:eastAsia="宋体" w:cs="Times New Roman"/>
                <w:color w:val="auto"/>
                <w:sz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rPr>
              <w:t>肠道营养制剂服务项目</w:t>
            </w:r>
          </w:p>
        </w:tc>
      </w:tr>
      <w:tr w14:paraId="2A89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540B6EF">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3</w:t>
            </w:r>
          </w:p>
        </w:tc>
        <w:tc>
          <w:tcPr>
            <w:tcW w:w="1277" w:type="dxa"/>
            <w:noWrap w:val="0"/>
            <w:vAlign w:val="center"/>
          </w:tcPr>
          <w:p w14:paraId="482408A0">
            <w:pPr>
              <w:rPr>
                <w:color w:val="auto"/>
                <w:kern w:val="0"/>
                <w:sz w:val="24"/>
                <w:highlight w:val="none"/>
              </w:rPr>
            </w:pPr>
            <w:r>
              <w:rPr>
                <w:rFonts w:hint="eastAsia" w:cs="宋体"/>
                <w:color w:val="auto"/>
                <w:kern w:val="0"/>
                <w:sz w:val="24"/>
                <w:highlight w:val="none"/>
              </w:rPr>
              <w:t>采购内容</w:t>
            </w:r>
          </w:p>
        </w:tc>
        <w:tc>
          <w:tcPr>
            <w:tcW w:w="6429" w:type="dxa"/>
            <w:noWrap w:val="0"/>
            <w:vAlign w:val="center"/>
          </w:tcPr>
          <w:p w14:paraId="55115EA1">
            <w:pPr>
              <w:rPr>
                <w:rFonts w:hint="eastAsia" w:ascii="Times New Roman" w:hAnsi="Times New Roman" w:eastAsia="宋体" w:cs="Times New Roman"/>
                <w:color w:val="auto"/>
                <w:sz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医院</w:t>
            </w:r>
            <w:r>
              <w:rPr>
                <w:rFonts w:hint="eastAsia" w:asciiTheme="minorEastAsia" w:hAnsiTheme="minorEastAsia" w:eastAsiaTheme="minorEastAsia" w:cstheme="minorEastAsia"/>
                <w:i w:val="0"/>
                <w:caps w:val="0"/>
                <w:color w:val="auto"/>
                <w:spacing w:val="0"/>
                <w:sz w:val="24"/>
                <w:szCs w:val="24"/>
                <w:highlight w:val="none"/>
                <w:shd w:val="clear" w:fill="FFFFFF"/>
              </w:rPr>
              <w:t>肠道营养制剂服务项目</w:t>
            </w:r>
            <w:r>
              <w:rPr>
                <w:rFonts w:hint="eastAsia" w:ascii="Times New Roman" w:hAnsi="Times New Roman" w:eastAsia="宋体" w:cs="Times New Roman"/>
                <w:color w:val="auto"/>
                <w:sz w:val="24"/>
                <w:highlight w:val="none"/>
                <w:lang w:val="en-US" w:eastAsia="zh-CN"/>
              </w:rPr>
              <w:t>(详见采购</w:t>
            </w:r>
            <w:r>
              <w:rPr>
                <w:rFonts w:hint="eastAsia" w:ascii="Times New Roman" w:hAnsi="Times New Roman" w:cs="Times New Roman"/>
                <w:color w:val="auto"/>
                <w:sz w:val="24"/>
                <w:highlight w:val="none"/>
                <w:lang w:val="en-US" w:eastAsia="zh-CN"/>
              </w:rPr>
              <w:t>需求</w:t>
            </w:r>
            <w:r>
              <w:rPr>
                <w:rFonts w:hint="eastAsia" w:ascii="Times New Roman" w:hAnsi="Times New Roman" w:eastAsia="宋体" w:cs="Times New Roman"/>
                <w:color w:val="auto"/>
                <w:sz w:val="24"/>
                <w:highlight w:val="none"/>
                <w:lang w:val="en-US" w:eastAsia="zh-CN"/>
              </w:rPr>
              <w:t>）</w:t>
            </w:r>
          </w:p>
        </w:tc>
      </w:tr>
      <w:tr w14:paraId="5D23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4043D52">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4</w:t>
            </w:r>
          </w:p>
        </w:tc>
        <w:tc>
          <w:tcPr>
            <w:tcW w:w="1277" w:type="dxa"/>
            <w:noWrap w:val="0"/>
            <w:vAlign w:val="center"/>
          </w:tcPr>
          <w:p w14:paraId="4618B1E0">
            <w:pPr>
              <w:rPr>
                <w:color w:val="auto"/>
                <w:kern w:val="0"/>
                <w:sz w:val="24"/>
                <w:highlight w:val="none"/>
              </w:rPr>
            </w:pPr>
            <w:r>
              <w:rPr>
                <w:rFonts w:hint="eastAsia" w:cs="宋体"/>
                <w:color w:val="auto"/>
                <w:kern w:val="0"/>
                <w:sz w:val="24"/>
                <w:highlight w:val="none"/>
              </w:rPr>
              <w:t>采购预算</w:t>
            </w:r>
          </w:p>
        </w:tc>
        <w:tc>
          <w:tcPr>
            <w:tcW w:w="6429" w:type="dxa"/>
            <w:noWrap w:val="0"/>
            <w:vAlign w:val="center"/>
          </w:tcPr>
          <w:p w14:paraId="570605E8">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采购预算：人民币</w:t>
            </w:r>
            <w:r>
              <w:rPr>
                <w:rFonts w:hint="eastAsia" w:ascii="Times New Roman" w:hAnsi="Times New Roman" w:cs="Times New Roman"/>
                <w:color w:val="auto"/>
                <w:sz w:val="24"/>
                <w:highlight w:val="none"/>
                <w:lang w:val="en-US" w:eastAsia="zh-CN"/>
              </w:rPr>
              <w:t>39</w:t>
            </w:r>
            <w:r>
              <w:rPr>
                <w:rFonts w:hint="eastAsia" w:ascii="Times New Roman" w:hAnsi="Times New Roman" w:eastAsia="宋体" w:cs="Times New Roman"/>
                <w:color w:val="auto"/>
                <w:sz w:val="24"/>
                <w:highlight w:val="none"/>
              </w:rPr>
              <w:t>万元；最高限价：人民币</w:t>
            </w:r>
            <w:r>
              <w:rPr>
                <w:rFonts w:hint="eastAsia" w:ascii="Times New Roman" w:hAnsi="Times New Roman" w:cs="Times New Roman"/>
                <w:color w:val="auto"/>
                <w:sz w:val="24"/>
                <w:highlight w:val="none"/>
                <w:lang w:val="en-US" w:eastAsia="zh-CN"/>
              </w:rPr>
              <w:t>39万</w:t>
            </w:r>
            <w:r>
              <w:rPr>
                <w:rFonts w:hint="eastAsia" w:ascii="Times New Roman" w:hAnsi="Times New Roman" w:eastAsia="宋体" w:cs="Times New Roman"/>
                <w:color w:val="auto"/>
                <w:sz w:val="24"/>
                <w:highlight w:val="none"/>
                <w:lang w:val="en-US" w:eastAsia="zh-CN"/>
              </w:rPr>
              <w:t>元</w:t>
            </w:r>
          </w:p>
        </w:tc>
      </w:tr>
      <w:tr w14:paraId="43D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A26407C">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5</w:t>
            </w:r>
          </w:p>
        </w:tc>
        <w:tc>
          <w:tcPr>
            <w:tcW w:w="1277" w:type="dxa"/>
            <w:noWrap w:val="0"/>
            <w:vAlign w:val="center"/>
          </w:tcPr>
          <w:p w14:paraId="4BF358B9">
            <w:pPr>
              <w:rPr>
                <w:color w:val="auto"/>
                <w:kern w:val="0"/>
                <w:sz w:val="24"/>
                <w:highlight w:val="none"/>
              </w:rPr>
            </w:pPr>
            <w:r>
              <w:rPr>
                <w:rFonts w:hint="eastAsia" w:cs="宋体"/>
                <w:color w:val="auto"/>
                <w:kern w:val="0"/>
                <w:sz w:val="24"/>
                <w:highlight w:val="none"/>
              </w:rPr>
              <w:t>采购人</w:t>
            </w:r>
          </w:p>
        </w:tc>
        <w:tc>
          <w:tcPr>
            <w:tcW w:w="6429" w:type="dxa"/>
            <w:noWrap w:val="0"/>
            <w:vAlign w:val="center"/>
          </w:tcPr>
          <w:p w14:paraId="2D4CBB74">
            <w:pP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cs="宋体"/>
                <w:color w:val="auto"/>
                <w:kern w:val="0"/>
                <w:sz w:val="24"/>
                <w:highlight w:val="none"/>
              </w:rPr>
              <w:t>采购人：</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3700D3E2">
            <w:pPr>
              <w:rPr>
                <w:rFonts w:hint="default" w:ascii="Times New Roman" w:hAnsi="Times New Roman" w:eastAsia="宋体" w:cs="Times New Roman"/>
                <w:color w:val="auto"/>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联系人：徐梦</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联系信息：</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13507265422</w:t>
            </w:r>
          </w:p>
          <w:p w14:paraId="5793D32D">
            <w:pPr>
              <w:rPr>
                <w:rFonts w:hint="default" w:eastAsia="宋体" w:cs="宋体"/>
                <w:color w:val="auto"/>
                <w:kern w:val="0"/>
                <w:sz w:val="24"/>
                <w:highlight w:val="none"/>
                <w:lang w:val="en-US" w:eastAsia="zh-CN"/>
              </w:rPr>
            </w:pPr>
            <w:r>
              <w:rPr>
                <w:rFonts w:hint="eastAsia" w:ascii="Times New Roman" w:hAnsi="Times New Roman" w:eastAsia="宋体" w:cs="Times New Roman"/>
                <w:color w:val="auto"/>
                <w:sz w:val="24"/>
                <w:highlight w:val="none"/>
              </w:rPr>
              <w:t>地址：湖北省洪湖市洪林路22号</w:t>
            </w:r>
          </w:p>
        </w:tc>
      </w:tr>
      <w:tr w14:paraId="21EF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16" w:type="dxa"/>
            <w:noWrap w:val="0"/>
            <w:vAlign w:val="center"/>
          </w:tcPr>
          <w:p w14:paraId="6CFFEC94">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6</w:t>
            </w:r>
          </w:p>
        </w:tc>
        <w:tc>
          <w:tcPr>
            <w:tcW w:w="1277" w:type="dxa"/>
            <w:noWrap w:val="0"/>
            <w:vAlign w:val="center"/>
          </w:tcPr>
          <w:p w14:paraId="3629E51B">
            <w:pPr>
              <w:rPr>
                <w:rFonts w:cs="宋体"/>
                <w:color w:val="auto"/>
                <w:kern w:val="0"/>
                <w:sz w:val="24"/>
                <w:highlight w:val="none"/>
              </w:rPr>
            </w:pPr>
            <w:r>
              <w:rPr>
                <w:rFonts w:hint="eastAsia" w:cs="宋体"/>
                <w:color w:val="auto"/>
                <w:kern w:val="0"/>
                <w:sz w:val="24"/>
                <w:highlight w:val="none"/>
                <w:lang w:val="en-US" w:eastAsia="zh-CN"/>
              </w:rPr>
              <w:t>分散</w:t>
            </w:r>
            <w:r>
              <w:rPr>
                <w:rFonts w:hint="eastAsia" w:cs="宋体"/>
                <w:color w:val="auto"/>
                <w:kern w:val="0"/>
                <w:sz w:val="24"/>
                <w:highlight w:val="none"/>
              </w:rPr>
              <w:t>采</w:t>
            </w:r>
          </w:p>
          <w:p w14:paraId="76116FEC">
            <w:pPr>
              <w:rPr>
                <w:color w:val="auto"/>
                <w:kern w:val="0"/>
                <w:sz w:val="24"/>
                <w:highlight w:val="none"/>
              </w:rPr>
            </w:pPr>
            <w:r>
              <w:rPr>
                <w:rFonts w:hint="eastAsia" w:cs="宋体"/>
                <w:color w:val="auto"/>
                <w:kern w:val="0"/>
                <w:sz w:val="24"/>
                <w:highlight w:val="none"/>
              </w:rPr>
              <w:t>购机构</w:t>
            </w:r>
          </w:p>
        </w:tc>
        <w:tc>
          <w:tcPr>
            <w:tcW w:w="6429" w:type="dxa"/>
            <w:noWrap w:val="0"/>
            <w:vAlign w:val="center"/>
          </w:tcPr>
          <w:p w14:paraId="4148E313">
            <w:pPr>
              <w:rPr>
                <w:color w:val="auto"/>
                <w:kern w:val="0"/>
                <w:sz w:val="24"/>
                <w:highlight w:val="none"/>
              </w:rPr>
            </w:pPr>
            <w:r>
              <w:rPr>
                <w:rFonts w:hint="eastAsia" w:cs="宋体"/>
                <w:color w:val="auto"/>
                <w:kern w:val="0"/>
                <w:sz w:val="24"/>
                <w:highlight w:val="none"/>
              </w:rPr>
              <w:t>名称：</w:t>
            </w:r>
            <w:r>
              <w:rPr>
                <w:rFonts w:hint="eastAsia" w:cs="宋体"/>
                <w:color w:val="auto"/>
                <w:kern w:val="0"/>
                <w:sz w:val="24"/>
                <w:highlight w:val="none"/>
                <w:lang w:val="en-US" w:eastAsia="zh-CN"/>
              </w:rPr>
              <w:t>洪湖市建坤工程咨询有限公司</w:t>
            </w:r>
            <w:r>
              <w:rPr>
                <w:color w:val="auto"/>
                <w:kern w:val="0"/>
                <w:sz w:val="24"/>
                <w:highlight w:val="none"/>
              </w:rPr>
              <w:fldChar w:fldCharType="begin"/>
            </w:r>
            <w:r>
              <w:rPr>
                <w:color w:val="auto"/>
                <w:kern w:val="0"/>
                <w:sz w:val="24"/>
                <w:highlight w:val="none"/>
              </w:rPr>
              <w:instrText xml:space="preserve">&lt;MK&gt; org.organname&lt;/MK&gt;</w:instrText>
            </w:r>
            <w:r>
              <w:rPr>
                <w:color w:val="auto"/>
                <w:kern w:val="0"/>
                <w:sz w:val="24"/>
                <w:highlight w:val="none"/>
              </w:rPr>
              <w:fldChar w:fldCharType="end"/>
            </w:r>
          </w:p>
          <w:p w14:paraId="09F5208F">
            <w:pPr>
              <w:rPr>
                <w:rFonts w:hint="eastAsia" w:cs="宋体"/>
                <w:color w:val="auto"/>
                <w:kern w:val="0"/>
                <w:sz w:val="24"/>
                <w:highlight w:val="none"/>
                <w:lang w:val="en-US" w:eastAsia="zh-CN"/>
              </w:rPr>
            </w:pPr>
            <w:r>
              <w:rPr>
                <w:rFonts w:hint="eastAsia" w:cs="宋体"/>
                <w:color w:val="auto"/>
                <w:kern w:val="0"/>
                <w:sz w:val="24"/>
                <w:highlight w:val="none"/>
              </w:rPr>
              <w:t>联系人：</w:t>
            </w:r>
            <w:r>
              <w:rPr>
                <w:rFonts w:hint="eastAsia" w:cs="宋体"/>
                <w:color w:val="auto"/>
                <w:kern w:val="0"/>
                <w:sz w:val="24"/>
                <w:highlight w:val="none"/>
                <w:lang w:val="en-US" w:eastAsia="zh-CN"/>
              </w:rPr>
              <w:t>周丽</w:t>
            </w:r>
          </w:p>
          <w:p w14:paraId="15233615">
            <w:pPr>
              <w:rPr>
                <w:rFonts w:hint="default" w:eastAsia="宋体"/>
                <w:color w:val="auto"/>
                <w:kern w:val="0"/>
                <w:sz w:val="24"/>
                <w:highlight w:val="none"/>
                <w:lang w:val="en-US" w:eastAsia="zh-CN"/>
              </w:rPr>
            </w:pPr>
            <w:r>
              <w:rPr>
                <w:rFonts w:hint="eastAsia" w:cs="宋体"/>
                <w:color w:val="auto"/>
                <w:kern w:val="0"/>
                <w:sz w:val="24"/>
                <w:highlight w:val="none"/>
              </w:rPr>
              <w:t>联系电话：</w:t>
            </w:r>
            <w:r>
              <w:rPr>
                <w:rFonts w:hint="eastAsia"/>
                <w:color w:val="auto"/>
                <w:kern w:val="0"/>
                <w:sz w:val="24"/>
                <w:highlight w:val="none"/>
                <w:lang w:val="en-US" w:eastAsia="zh-CN"/>
              </w:rPr>
              <w:t>13277333179</w:t>
            </w:r>
          </w:p>
          <w:p w14:paraId="33A66E30">
            <w:pPr>
              <w:ind w:left="720" w:hanging="720" w:hangingChars="300"/>
              <w:rPr>
                <w:color w:val="auto"/>
                <w:kern w:val="0"/>
                <w:sz w:val="24"/>
                <w:highlight w:val="none"/>
              </w:rPr>
            </w:pPr>
            <w:r>
              <w:rPr>
                <w:rFonts w:hint="eastAsia" w:cs="宋体"/>
                <w:color w:val="auto"/>
                <w:kern w:val="0"/>
                <w:sz w:val="24"/>
                <w:highlight w:val="none"/>
              </w:rPr>
              <w:t>地址：洪湖市茅江大道</w:t>
            </w:r>
            <w:r>
              <w:rPr>
                <w:rFonts w:hint="eastAsia" w:cs="宋体"/>
                <w:color w:val="auto"/>
                <w:kern w:val="0"/>
                <w:sz w:val="24"/>
                <w:highlight w:val="none"/>
                <w:lang w:val="en-US" w:eastAsia="zh-CN"/>
              </w:rPr>
              <w:t>兴业小区103号门面</w:t>
            </w:r>
            <w:r>
              <w:rPr>
                <w:color w:val="auto"/>
                <w:kern w:val="0"/>
                <w:sz w:val="24"/>
                <w:highlight w:val="none"/>
              </w:rPr>
              <w:fldChar w:fldCharType="begin"/>
            </w:r>
            <w:r>
              <w:rPr>
                <w:color w:val="auto"/>
                <w:kern w:val="0"/>
                <w:sz w:val="24"/>
                <w:highlight w:val="none"/>
              </w:rPr>
              <w:instrText xml:space="preserve">&lt;MK&gt;pro.mobile&lt;/MK&gt;</w:instrText>
            </w:r>
            <w:r>
              <w:rPr>
                <w:color w:val="auto"/>
                <w:kern w:val="0"/>
                <w:sz w:val="24"/>
                <w:highlight w:val="none"/>
              </w:rPr>
              <w:fldChar w:fldCharType="end"/>
            </w:r>
          </w:p>
        </w:tc>
      </w:tr>
      <w:tr w14:paraId="06FD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6" w:type="dxa"/>
            <w:noWrap w:val="0"/>
            <w:vAlign w:val="center"/>
          </w:tcPr>
          <w:p w14:paraId="2EFF9FF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7</w:t>
            </w:r>
          </w:p>
        </w:tc>
        <w:tc>
          <w:tcPr>
            <w:tcW w:w="1277" w:type="dxa"/>
            <w:noWrap w:val="0"/>
            <w:vAlign w:val="center"/>
          </w:tcPr>
          <w:p w14:paraId="72A6B5BD">
            <w:pPr>
              <w:rPr>
                <w:rFonts w:cs="宋体"/>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文件的获取</w:t>
            </w:r>
          </w:p>
        </w:tc>
        <w:tc>
          <w:tcPr>
            <w:tcW w:w="6429" w:type="dxa"/>
            <w:noWrap w:val="0"/>
            <w:vAlign w:val="center"/>
          </w:tcPr>
          <w:p w14:paraId="17907C94">
            <w:pPr>
              <w:ind w:left="600" w:hanging="600" w:hangingChars="250"/>
              <w:rPr>
                <w:rFonts w:hint="default" w:cs="宋体"/>
                <w:color w:val="auto"/>
                <w:kern w:val="0"/>
                <w:sz w:val="24"/>
                <w:highlight w:val="none"/>
                <w:lang w:val="en-US"/>
              </w:rPr>
            </w:pPr>
            <w:r>
              <w:rPr>
                <w:rFonts w:hint="eastAsia" w:cs="宋体"/>
                <w:color w:val="auto"/>
                <w:kern w:val="0"/>
                <w:sz w:val="24"/>
                <w:highlight w:val="none"/>
              </w:rPr>
              <w:t>时间：</w:t>
            </w:r>
            <w:r>
              <w:rPr>
                <w:rFonts w:hint="eastAsia" w:asciiTheme="minorEastAsia" w:hAnsiTheme="minorEastAsia" w:eastAsiaTheme="minorEastAsia" w:cstheme="minorEastAsia"/>
                <w:i w:val="0"/>
                <w:caps w:val="0"/>
                <w:color w:val="auto"/>
                <w:spacing w:val="0"/>
                <w:sz w:val="24"/>
                <w:szCs w:val="24"/>
                <w:highlight w:val="none"/>
                <w:shd w:val="clear" w:fill="FFFFFF"/>
              </w:rPr>
              <w:t>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9 </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 13 </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tc>
      </w:tr>
      <w:tr w14:paraId="0A05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noWrap w:val="0"/>
            <w:vAlign w:val="center"/>
          </w:tcPr>
          <w:p w14:paraId="7B351FDA">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8</w:t>
            </w:r>
          </w:p>
        </w:tc>
        <w:tc>
          <w:tcPr>
            <w:tcW w:w="1277" w:type="dxa"/>
            <w:noWrap w:val="0"/>
            <w:vAlign w:val="center"/>
          </w:tcPr>
          <w:p w14:paraId="6D49A016">
            <w:pPr>
              <w:rPr>
                <w:color w:val="auto"/>
                <w:kern w:val="0"/>
                <w:sz w:val="24"/>
                <w:highlight w:val="none"/>
              </w:rPr>
            </w:pPr>
            <w:r>
              <w:rPr>
                <w:rFonts w:hint="eastAsia" w:cs="宋体"/>
                <w:color w:val="auto"/>
                <w:kern w:val="0"/>
                <w:sz w:val="24"/>
                <w:highlight w:val="none"/>
              </w:rPr>
              <w:t>供应商资格条件</w:t>
            </w:r>
          </w:p>
        </w:tc>
        <w:tc>
          <w:tcPr>
            <w:tcW w:w="6429" w:type="dxa"/>
            <w:noWrap w:val="0"/>
            <w:vAlign w:val="center"/>
          </w:tcPr>
          <w:p w14:paraId="6477B37F">
            <w:pPr>
              <w:rPr>
                <w:color w:val="auto"/>
                <w:highlight w:val="none"/>
              </w:rPr>
            </w:pPr>
            <w:r>
              <w:rPr>
                <w:rFonts w:hint="eastAsia" w:cs="宋体"/>
                <w:color w:val="auto"/>
                <w:kern w:val="0"/>
                <w:sz w:val="24"/>
                <w:highlight w:val="none"/>
              </w:rPr>
              <w:t>详见</w:t>
            </w:r>
            <w:r>
              <w:rPr>
                <w:rFonts w:hint="eastAsia" w:cs="宋体"/>
                <w:color w:val="auto"/>
                <w:kern w:val="0"/>
                <w:sz w:val="24"/>
                <w:highlight w:val="none"/>
                <w:lang w:eastAsia="zh-CN"/>
              </w:rPr>
              <w:t>磋商公告</w:t>
            </w:r>
          </w:p>
        </w:tc>
      </w:tr>
      <w:tr w14:paraId="47F1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AE36A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9</w:t>
            </w:r>
          </w:p>
        </w:tc>
        <w:tc>
          <w:tcPr>
            <w:tcW w:w="1277" w:type="dxa"/>
            <w:noWrap w:val="0"/>
            <w:vAlign w:val="center"/>
          </w:tcPr>
          <w:p w14:paraId="2F3E734B">
            <w:pPr>
              <w:rPr>
                <w:color w:val="auto"/>
                <w:kern w:val="0"/>
                <w:sz w:val="24"/>
                <w:highlight w:val="none"/>
              </w:rPr>
            </w:pPr>
            <w:r>
              <w:rPr>
                <w:rFonts w:hint="eastAsia" w:cs="宋体"/>
                <w:color w:val="auto"/>
                <w:kern w:val="0"/>
                <w:sz w:val="24"/>
                <w:highlight w:val="none"/>
              </w:rPr>
              <w:t>联合体</w:t>
            </w:r>
          </w:p>
        </w:tc>
        <w:tc>
          <w:tcPr>
            <w:tcW w:w="6429" w:type="dxa"/>
            <w:noWrap w:val="0"/>
            <w:vAlign w:val="center"/>
          </w:tcPr>
          <w:p w14:paraId="0F1B7EC2">
            <w:pPr>
              <w:rPr>
                <w:rFonts w:cs="宋体"/>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 xml:space="preserve">接受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0BAA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2EF3ED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10</w:t>
            </w:r>
          </w:p>
        </w:tc>
        <w:tc>
          <w:tcPr>
            <w:tcW w:w="1277" w:type="dxa"/>
            <w:noWrap w:val="0"/>
            <w:vAlign w:val="center"/>
          </w:tcPr>
          <w:p w14:paraId="22C6BFCC">
            <w:pPr>
              <w:rPr>
                <w:color w:val="auto"/>
                <w:kern w:val="0"/>
                <w:sz w:val="24"/>
                <w:highlight w:val="none"/>
              </w:rPr>
            </w:pPr>
            <w:r>
              <w:rPr>
                <w:rFonts w:hint="eastAsia" w:cs="宋体"/>
                <w:color w:val="auto"/>
                <w:kern w:val="0"/>
                <w:sz w:val="24"/>
                <w:highlight w:val="none"/>
              </w:rPr>
              <w:t>踏勘现场</w:t>
            </w:r>
          </w:p>
        </w:tc>
        <w:tc>
          <w:tcPr>
            <w:tcW w:w="6429" w:type="dxa"/>
            <w:noWrap w:val="0"/>
            <w:vAlign w:val="center"/>
          </w:tcPr>
          <w:p w14:paraId="6CFAA612">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24D2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961F8DD">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277" w:type="dxa"/>
            <w:noWrap w:val="0"/>
            <w:vAlign w:val="center"/>
          </w:tcPr>
          <w:p w14:paraId="765810CF">
            <w:pPr>
              <w:rPr>
                <w:color w:val="auto"/>
                <w:kern w:val="0"/>
                <w:sz w:val="24"/>
                <w:highlight w:val="none"/>
              </w:rPr>
            </w:pPr>
            <w:r>
              <w:rPr>
                <w:rFonts w:hint="eastAsia" w:cs="宋体"/>
                <w:color w:val="auto"/>
                <w:kern w:val="0"/>
                <w:sz w:val="24"/>
                <w:highlight w:val="none"/>
              </w:rPr>
              <w:t>答疑会</w:t>
            </w:r>
          </w:p>
        </w:tc>
        <w:tc>
          <w:tcPr>
            <w:tcW w:w="6429" w:type="dxa"/>
            <w:noWrap w:val="0"/>
            <w:vAlign w:val="center"/>
          </w:tcPr>
          <w:p w14:paraId="38D2D7F7">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3428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8A4B00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77" w:type="dxa"/>
            <w:noWrap w:val="0"/>
            <w:vAlign w:val="center"/>
          </w:tcPr>
          <w:p w14:paraId="6C33271A">
            <w:pPr>
              <w:rPr>
                <w:color w:val="auto"/>
                <w:kern w:val="0"/>
                <w:sz w:val="24"/>
                <w:highlight w:val="none"/>
              </w:rPr>
            </w:pPr>
            <w:r>
              <w:rPr>
                <w:rFonts w:hint="eastAsia" w:cs="宋体"/>
                <w:color w:val="auto"/>
                <w:kern w:val="0"/>
                <w:sz w:val="24"/>
                <w:highlight w:val="none"/>
              </w:rPr>
              <w:t>分包</w:t>
            </w:r>
          </w:p>
        </w:tc>
        <w:tc>
          <w:tcPr>
            <w:tcW w:w="6429" w:type="dxa"/>
            <w:noWrap w:val="0"/>
            <w:vAlign w:val="center"/>
          </w:tcPr>
          <w:p w14:paraId="244A1811">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允许</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不允许</w:t>
            </w:r>
          </w:p>
        </w:tc>
      </w:tr>
      <w:tr w14:paraId="2A94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5744F9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13</w:t>
            </w:r>
          </w:p>
        </w:tc>
        <w:tc>
          <w:tcPr>
            <w:tcW w:w="1277" w:type="dxa"/>
            <w:noWrap w:val="0"/>
            <w:vAlign w:val="center"/>
          </w:tcPr>
          <w:p w14:paraId="0157C3E3">
            <w:pPr>
              <w:rPr>
                <w:color w:val="auto"/>
                <w:kern w:val="0"/>
                <w:sz w:val="24"/>
                <w:highlight w:val="none"/>
              </w:rPr>
            </w:pPr>
            <w:r>
              <w:rPr>
                <w:rFonts w:hint="eastAsia" w:cs="宋体"/>
                <w:color w:val="auto"/>
                <w:kern w:val="0"/>
                <w:sz w:val="24"/>
                <w:highlight w:val="none"/>
              </w:rPr>
              <w:t>备选方案</w:t>
            </w:r>
          </w:p>
        </w:tc>
        <w:tc>
          <w:tcPr>
            <w:tcW w:w="6429" w:type="dxa"/>
            <w:noWrap w:val="0"/>
            <w:vAlign w:val="center"/>
          </w:tcPr>
          <w:p w14:paraId="19D9179F">
            <w:pPr>
              <w:rPr>
                <w:color w:val="auto"/>
                <w:kern w:val="0"/>
                <w:sz w:val="24"/>
                <w:highlight w:val="none"/>
              </w:rPr>
            </w:pPr>
            <w:r>
              <w:rPr>
                <w:rFonts w:hint="eastAsia" w:ascii="宋体" w:hAnsi="宋体"/>
                <w:color w:val="auto"/>
                <w:kern w:val="0"/>
                <w:sz w:val="24"/>
                <w:highlight w:val="none"/>
                <w:lang w:eastAsia="zh-CN"/>
              </w:rPr>
              <w:t>□</w:t>
            </w:r>
            <w:r>
              <w:rPr>
                <w:rFonts w:hint="eastAsia" w:cs="宋体"/>
                <w:color w:val="auto"/>
                <w:kern w:val="0"/>
                <w:sz w:val="24"/>
                <w:highlight w:val="none"/>
              </w:rPr>
              <w:t>接受</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1EF7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EF93B7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14</w:t>
            </w:r>
          </w:p>
        </w:tc>
        <w:tc>
          <w:tcPr>
            <w:tcW w:w="1277" w:type="dxa"/>
            <w:noWrap w:val="0"/>
            <w:vAlign w:val="center"/>
          </w:tcPr>
          <w:p w14:paraId="2EFDC57D">
            <w:pPr>
              <w:rPr>
                <w:color w:val="auto"/>
                <w:kern w:val="0"/>
                <w:sz w:val="24"/>
                <w:highlight w:val="none"/>
              </w:rPr>
            </w:pPr>
            <w:r>
              <w:rPr>
                <w:rFonts w:hint="eastAsia" w:cs="宋体"/>
                <w:color w:val="auto"/>
                <w:kern w:val="0"/>
                <w:sz w:val="24"/>
                <w:highlight w:val="none"/>
              </w:rPr>
              <w:t>响应文件有效期</w:t>
            </w:r>
          </w:p>
        </w:tc>
        <w:tc>
          <w:tcPr>
            <w:tcW w:w="6429" w:type="dxa"/>
            <w:noWrap w:val="0"/>
            <w:vAlign w:val="center"/>
          </w:tcPr>
          <w:p w14:paraId="766E996F">
            <w:pPr>
              <w:rPr>
                <w:color w:val="auto"/>
                <w:kern w:val="0"/>
                <w:sz w:val="24"/>
                <w:highlight w:val="none"/>
              </w:rPr>
            </w:pPr>
            <w:r>
              <w:rPr>
                <w:rFonts w:hint="eastAsia" w:cs="宋体"/>
                <w:color w:val="auto"/>
                <w:kern w:val="0"/>
                <w:sz w:val="24"/>
                <w:highlight w:val="none"/>
              </w:rPr>
              <w:t>递交响应文件之日算起</w:t>
            </w:r>
            <w:r>
              <w:rPr>
                <w:rFonts w:hint="eastAsia"/>
                <w:color w:val="auto"/>
                <w:kern w:val="0"/>
                <w:sz w:val="24"/>
                <w:highlight w:val="none"/>
                <w:u w:val="single"/>
                <w:lang w:val="en-US" w:eastAsia="zh-CN"/>
              </w:rPr>
              <w:t>9</w:t>
            </w:r>
            <w:r>
              <w:rPr>
                <w:rFonts w:hint="eastAsia"/>
                <w:color w:val="auto"/>
                <w:kern w:val="0"/>
                <w:sz w:val="24"/>
                <w:highlight w:val="none"/>
                <w:u w:val="single"/>
              </w:rPr>
              <w:t>0</w:t>
            </w:r>
            <w:r>
              <w:rPr>
                <w:color w:val="auto"/>
                <w:kern w:val="0"/>
                <w:sz w:val="24"/>
                <w:highlight w:val="none"/>
                <w:u w:val="single"/>
              </w:rPr>
              <w:t xml:space="preserve"> </w:t>
            </w:r>
            <w:r>
              <w:rPr>
                <w:rFonts w:hint="eastAsia" w:cs="宋体"/>
                <w:color w:val="auto"/>
                <w:kern w:val="0"/>
                <w:sz w:val="24"/>
                <w:highlight w:val="none"/>
              </w:rPr>
              <w:t>日历日内保持有效。</w:t>
            </w:r>
          </w:p>
        </w:tc>
      </w:tr>
      <w:tr w14:paraId="0A8A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E63205A">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15</w:t>
            </w:r>
          </w:p>
        </w:tc>
        <w:tc>
          <w:tcPr>
            <w:tcW w:w="1277" w:type="dxa"/>
            <w:noWrap w:val="0"/>
            <w:vAlign w:val="center"/>
          </w:tcPr>
          <w:p w14:paraId="122B446E">
            <w:pPr>
              <w:rPr>
                <w:color w:val="auto"/>
                <w:kern w:val="0"/>
                <w:sz w:val="24"/>
                <w:highlight w:val="none"/>
              </w:rPr>
            </w:pPr>
            <w:r>
              <w:rPr>
                <w:rFonts w:hint="eastAsia" w:cs="宋体"/>
                <w:color w:val="auto"/>
                <w:kern w:val="0"/>
                <w:sz w:val="24"/>
                <w:highlight w:val="none"/>
              </w:rPr>
              <w:t>报价方式</w:t>
            </w:r>
          </w:p>
        </w:tc>
        <w:tc>
          <w:tcPr>
            <w:tcW w:w="6429" w:type="dxa"/>
            <w:noWrap w:val="0"/>
            <w:vAlign w:val="center"/>
          </w:tcPr>
          <w:p w14:paraId="1F13A895">
            <w:pPr>
              <w:rPr>
                <w:color w:val="auto"/>
                <w:kern w:val="0"/>
                <w:sz w:val="24"/>
                <w:highlight w:val="none"/>
              </w:rPr>
            </w:pPr>
            <w:r>
              <w:rPr>
                <w:rFonts w:hint="eastAsia" w:cs="宋体"/>
                <w:color w:val="auto"/>
                <w:kern w:val="0"/>
                <w:sz w:val="24"/>
                <w:highlight w:val="none"/>
              </w:rPr>
              <w:t>按综合报价方式，即交钥匙工程。最后报价超过采购预算的，其响应文件无效。</w:t>
            </w:r>
          </w:p>
        </w:tc>
      </w:tr>
      <w:tr w14:paraId="40C6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5483BE55">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16</w:t>
            </w:r>
          </w:p>
        </w:tc>
        <w:tc>
          <w:tcPr>
            <w:tcW w:w="1277" w:type="dxa"/>
            <w:noWrap w:val="0"/>
            <w:vAlign w:val="center"/>
          </w:tcPr>
          <w:p w14:paraId="21670191">
            <w:pPr>
              <w:pStyle w:val="14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eastAsia="zh-CN"/>
              </w:rPr>
              <w:t>磋商</w:t>
            </w:r>
            <w:r>
              <w:rPr>
                <w:rFonts w:hint="eastAsia" w:ascii="Times New Roman" w:hAnsi="Times New Roman" w:cs="宋体"/>
                <w:color w:val="auto"/>
                <w:sz w:val="24"/>
                <w:szCs w:val="24"/>
                <w:highlight w:val="none"/>
                <w:lang w:val="en-US"/>
              </w:rPr>
              <w:t>小组组成</w:t>
            </w:r>
          </w:p>
        </w:tc>
        <w:tc>
          <w:tcPr>
            <w:tcW w:w="6429" w:type="dxa"/>
            <w:noWrap w:val="0"/>
            <w:vAlign w:val="center"/>
          </w:tcPr>
          <w:p w14:paraId="08AFB62F">
            <w:pPr>
              <w:pStyle w:val="143"/>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w:t>
            </w:r>
            <w:r>
              <w:rPr>
                <w:rFonts w:hint="eastAsia" w:ascii="Times New Roman" w:hAnsi="Times New Roman" w:cs="Times New Roman"/>
                <w:color w:val="auto"/>
                <w:sz w:val="24"/>
                <w:szCs w:val="24"/>
                <w:highlight w:val="none"/>
                <w:u w:val="single"/>
                <w:lang w:val="en-US" w:eastAsia="zh-CN"/>
              </w:rPr>
              <w:t>3</w:t>
            </w:r>
            <w:r>
              <w:rPr>
                <w:rFonts w:hint="eastAsia" w:ascii="Times New Roman" w:hAnsi="Times New Roman" w:cs="宋体"/>
                <w:color w:val="auto"/>
                <w:sz w:val="24"/>
                <w:szCs w:val="24"/>
                <w:highlight w:val="none"/>
                <w:lang w:val="en-US"/>
              </w:rPr>
              <w:t>名评审专家组成，评审专家从专家库中随机抽取。</w:t>
            </w:r>
          </w:p>
        </w:tc>
      </w:tr>
      <w:tr w14:paraId="661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327FB13C">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17</w:t>
            </w:r>
          </w:p>
        </w:tc>
        <w:tc>
          <w:tcPr>
            <w:tcW w:w="1277" w:type="dxa"/>
            <w:noWrap w:val="0"/>
            <w:vAlign w:val="center"/>
          </w:tcPr>
          <w:p w14:paraId="5B5BAB38">
            <w:pPr>
              <w:rPr>
                <w:color w:val="auto"/>
                <w:kern w:val="0"/>
                <w:sz w:val="24"/>
                <w:highlight w:val="none"/>
              </w:rPr>
            </w:pPr>
            <w:r>
              <w:rPr>
                <w:rFonts w:hint="eastAsia" w:cs="宋体"/>
                <w:color w:val="auto"/>
                <w:kern w:val="0"/>
                <w:sz w:val="24"/>
                <w:highlight w:val="none"/>
              </w:rPr>
              <w:t>确定供应商</w:t>
            </w:r>
          </w:p>
        </w:tc>
        <w:tc>
          <w:tcPr>
            <w:tcW w:w="6429" w:type="dxa"/>
            <w:noWrap w:val="0"/>
            <w:vAlign w:val="center"/>
          </w:tcPr>
          <w:p w14:paraId="1B5626E3">
            <w:pPr>
              <w:rPr>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小组从有意愿参加本次采购活动，且符合相关资格条件的供应商中确定（或由采取采购人和评审专家书面推荐）不少于三家参加谈判。</w:t>
            </w:r>
          </w:p>
        </w:tc>
      </w:tr>
      <w:tr w14:paraId="585B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768C3C47">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18</w:t>
            </w:r>
          </w:p>
        </w:tc>
        <w:tc>
          <w:tcPr>
            <w:tcW w:w="1277" w:type="dxa"/>
            <w:noWrap w:val="0"/>
            <w:vAlign w:val="center"/>
          </w:tcPr>
          <w:p w14:paraId="2C502982">
            <w:pPr>
              <w:pStyle w:val="143"/>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noWrap w:val="0"/>
            <w:vAlign w:val="center"/>
          </w:tcPr>
          <w:p w14:paraId="61DBA8DE">
            <w:pPr>
              <w:pStyle w:val="143"/>
              <w:jc w:val="both"/>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（1）采用综合评分法。即满分100分，其中商务评议占</w:t>
            </w:r>
            <w:r>
              <w:rPr>
                <w:rFonts w:hint="eastAsia" w:ascii="Times New Roman" w:hAnsi="Times New Roman" w:cs="Times New Roman"/>
                <w:color w:val="auto"/>
                <w:sz w:val="24"/>
                <w:highlight w:val="none"/>
                <w:lang w:val="en-US" w:eastAsia="zh-CN"/>
              </w:rPr>
              <w:t>20</w:t>
            </w:r>
            <w:r>
              <w:rPr>
                <w:rFonts w:ascii="Times New Roman" w:hAnsi="Times New Roman" w:cs="Times New Roman"/>
                <w:color w:val="auto"/>
                <w:sz w:val="24"/>
                <w:highlight w:val="none"/>
                <w:lang w:val="en-US"/>
              </w:rPr>
              <w:t>％，技术服务评议占</w:t>
            </w:r>
            <w:r>
              <w:rPr>
                <w:rFonts w:hint="eastAsia" w:ascii="Times New Roman" w:hAnsi="Times New Roman" w:cs="Times New Roman"/>
                <w:color w:val="auto"/>
                <w:sz w:val="24"/>
                <w:highlight w:val="none"/>
                <w:lang w:val="en-US" w:eastAsia="zh-CN"/>
              </w:rPr>
              <w:t>50</w:t>
            </w:r>
            <w:r>
              <w:rPr>
                <w:rFonts w:ascii="Times New Roman" w:hAnsi="Times New Roman" w:cs="Times New Roman"/>
                <w:color w:val="auto"/>
                <w:sz w:val="24"/>
                <w:highlight w:val="none"/>
                <w:lang w:val="en-US"/>
              </w:rPr>
              <w:t>％，价格评议占</w:t>
            </w:r>
            <w:r>
              <w:rPr>
                <w:rFonts w:hint="eastAsia" w:ascii="Times New Roman" w:hAnsi="Times New Roman" w:cs="Times New Roman"/>
                <w:color w:val="auto"/>
                <w:sz w:val="24"/>
                <w:highlight w:val="none"/>
                <w:lang w:val="en-US" w:eastAsia="zh-CN"/>
              </w:rPr>
              <w:t>30</w:t>
            </w:r>
            <w:r>
              <w:rPr>
                <w:rFonts w:ascii="Times New Roman" w:hAnsi="Times New Roman" w:cs="Times New Roman"/>
                <w:color w:val="auto"/>
                <w:sz w:val="24"/>
                <w:highlight w:val="none"/>
                <w:lang w:val="en-US"/>
              </w:rPr>
              <w:t>%。</w:t>
            </w:r>
          </w:p>
          <w:p w14:paraId="44BCF21A">
            <w:pPr>
              <w:pStyle w:val="143"/>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highlight w:val="none"/>
                <w:lang w:val="en-US"/>
              </w:rPr>
              <w:t>（2）磋商</w:t>
            </w:r>
            <w:r>
              <w:rPr>
                <w:rFonts w:ascii="Times New Roman" w:hAnsi="Times New Roman" w:cs="Times New Roman"/>
                <w:color w:val="auto"/>
                <w:sz w:val="24"/>
                <w:highlight w:val="none"/>
              </w:rPr>
              <w:t>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r>
              <w:rPr>
                <w:rFonts w:hint="eastAsia" w:ascii="Times New Roman" w:hAnsi="Times New Roman" w:cs="Times New Roman"/>
                <w:color w:val="auto"/>
                <w:sz w:val="24"/>
                <w:highlight w:val="none"/>
                <w:lang w:eastAsia="zh-CN"/>
              </w:rPr>
              <w:t>。</w:t>
            </w:r>
          </w:p>
        </w:tc>
      </w:tr>
      <w:tr w14:paraId="19F4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0AB34B80">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19</w:t>
            </w:r>
          </w:p>
        </w:tc>
        <w:tc>
          <w:tcPr>
            <w:tcW w:w="1277" w:type="dxa"/>
            <w:noWrap w:val="0"/>
            <w:vAlign w:val="center"/>
          </w:tcPr>
          <w:p w14:paraId="54F67041">
            <w:pPr>
              <w:pStyle w:val="143"/>
              <w:jc w:val="both"/>
              <w:rPr>
                <w:rFonts w:ascii="Times New Roman" w:hAnsi="Times New Roman" w:cs="Times New Roman"/>
                <w:color w:val="auto"/>
                <w:highlight w:val="none"/>
                <w:lang w:val="en-US"/>
              </w:rPr>
            </w:pPr>
            <w:r>
              <w:rPr>
                <w:rFonts w:ascii="Times New Roman" w:hAnsi="Times New Roman" w:cs="Times New Roman"/>
                <w:color w:val="auto"/>
                <w:sz w:val="24"/>
                <w:szCs w:val="24"/>
                <w:highlight w:val="none"/>
                <w:lang w:val="en-US"/>
              </w:rPr>
              <w:t>时间和地点</w:t>
            </w:r>
          </w:p>
        </w:tc>
        <w:tc>
          <w:tcPr>
            <w:tcW w:w="6429" w:type="dxa"/>
            <w:noWrap w:val="0"/>
            <w:vAlign w:val="center"/>
          </w:tcPr>
          <w:p w14:paraId="3A72D9CE">
            <w:pPr>
              <w:pStyle w:val="143"/>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2024年12月19 日9时30</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77A4D82">
            <w:pPr>
              <w:pStyle w:val="143"/>
              <w:spacing w:before="7"/>
              <w:ind w:left="480" w:right="96" w:hanging="480" w:hangingChars="200"/>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lang w:val="en-US"/>
              </w:rPr>
              <w:t>（2）地点：</w:t>
            </w:r>
            <w:r>
              <w:rPr>
                <w:rFonts w:hint="eastAsia" w:ascii="Times New Roman" w:hAnsi="Times New Roman" w:cs="Times New Roman"/>
                <w:color w:val="auto"/>
                <w:sz w:val="24"/>
                <w:szCs w:val="24"/>
                <w:highlight w:val="none"/>
                <w:lang w:val="en-US"/>
              </w:rPr>
              <w:t>洪湖市新堤茅江大道兴业小区103号门面洪湖市建坤工程咨询有限公司评标室</w:t>
            </w:r>
          </w:p>
        </w:tc>
      </w:tr>
      <w:tr w14:paraId="5744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4F69F9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20</w:t>
            </w:r>
          </w:p>
        </w:tc>
        <w:tc>
          <w:tcPr>
            <w:tcW w:w="1277" w:type="dxa"/>
            <w:noWrap w:val="0"/>
            <w:vAlign w:val="center"/>
          </w:tcPr>
          <w:p w14:paraId="7AEAD028">
            <w:pPr>
              <w:pStyle w:val="143"/>
              <w:jc w:val="both"/>
              <w:rPr>
                <w:rFonts w:ascii="Times New Roman" w:hAnsi="Times New Roman" w:cs="Times New Roman"/>
                <w:color w:val="auto"/>
                <w:sz w:val="24"/>
                <w:szCs w:val="24"/>
                <w:highlight w:val="none"/>
                <w:lang w:val="en-US"/>
              </w:rPr>
            </w:pPr>
            <w:r>
              <w:rPr>
                <w:rFonts w:hint="eastAsia"/>
                <w:bCs/>
                <w:color w:val="auto"/>
                <w:sz w:val="24"/>
                <w:highlight w:val="none"/>
              </w:rPr>
              <w:t>落实政府采购政策</w:t>
            </w:r>
          </w:p>
        </w:tc>
        <w:tc>
          <w:tcPr>
            <w:tcW w:w="6429" w:type="dxa"/>
            <w:noWrap w:val="0"/>
            <w:vAlign w:val="center"/>
          </w:tcPr>
          <w:p w14:paraId="5584345D">
            <w:pPr>
              <w:ind w:left="480" w:hanging="480" w:hangingChars="200"/>
              <w:rPr>
                <w:rFonts w:eastAsia="宋体"/>
                <w:color w:val="auto"/>
                <w:kern w:val="0"/>
                <w:sz w:val="24"/>
                <w:highlight w:val="none"/>
              </w:rPr>
            </w:pPr>
            <w:r>
              <w:rPr>
                <w:rFonts w:eastAsia="宋体"/>
                <w:color w:val="auto"/>
                <w:kern w:val="0"/>
                <w:sz w:val="24"/>
                <w:highlight w:val="none"/>
              </w:rPr>
              <w:t>（1）是否专门面向中小企业、监狱企业、残疾人福利性单位：</w:t>
            </w:r>
            <w:r>
              <w:rPr>
                <w:rFonts w:hint="eastAsia"/>
                <w:color w:val="auto"/>
                <w:kern w:val="0"/>
                <w:sz w:val="24"/>
                <w:highlight w:val="none"/>
                <w:lang w:val="en-US" w:eastAsia="zh-CN"/>
              </w:rPr>
              <w:t>是</w:t>
            </w:r>
            <w:r>
              <w:rPr>
                <w:rFonts w:eastAsia="宋体"/>
                <w:color w:val="auto"/>
                <w:kern w:val="0"/>
                <w:sz w:val="24"/>
                <w:highlight w:val="none"/>
              </w:rPr>
              <w:t>。</w:t>
            </w:r>
          </w:p>
          <w:p w14:paraId="4ECE404B">
            <w:pPr>
              <w:ind w:left="480" w:hanging="480" w:hangingChars="200"/>
              <w:rPr>
                <w:rFonts w:eastAsia="宋体"/>
                <w:color w:val="auto"/>
                <w:kern w:val="0"/>
                <w:sz w:val="24"/>
                <w:highlight w:val="none"/>
              </w:rPr>
            </w:pPr>
            <w:r>
              <w:rPr>
                <w:rFonts w:hint="eastAsia" w:eastAsia="宋体"/>
                <w:color w:val="auto"/>
                <w:kern w:val="0"/>
                <w:sz w:val="24"/>
                <w:highlight w:val="none"/>
              </w:rPr>
              <w:t>（2）</w:t>
            </w:r>
            <w:r>
              <w:rPr>
                <w:rFonts w:eastAsia="宋体"/>
                <w:color w:val="auto"/>
                <w:kern w:val="0"/>
                <w:sz w:val="24"/>
                <w:highlight w:val="none"/>
              </w:rPr>
              <w:t>所属行业：其他未列明行业。</w:t>
            </w:r>
          </w:p>
          <w:p w14:paraId="1F3BFEAA">
            <w:pPr>
              <w:pStyle w:val="143"/>
              <w:ind w:left="278" w:hanging="278" w:hangingChars="116"/>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lang w:val="en-US"/>
              </w:rPr>
              <w:t>3</w:t>
            </w:r>
            <w:r>
              <w:rPr>
                <w:rFonts w:ascii="Times New Roman" w:hAnsi="Times New Roman" w:cs="Times New Roman"/>
                <w:color w:val="auto"/>
                <w:sz w:val="24"/>
                <w:szCs w:val="24"/>
                <w:highlight w:val="none"/>
                <w:lang w:val="en-US"/>
              </w:rPr>
              <w:t>）中小企业划分</w:t>
            </w:r>
            <w:r>
              <w:rPr>
                <w:rFonts w:hint="eastAsia" w:ascii="Times New Roman" w:hAnsi="Times New Roman" w:cs="Times New Roman"/>
                <w:color w:val="auto"/>
                <w:sz w:val="24"/>
                <w:szCs w:val="24"/>
                <w:highlight w:val="none"/>
                <w:lang w:val="en-US"/>
              </w:rPr>
              <w:t>：国务院客户端和工业和信息化部网站上均有小程序链接。</w:t>
            </w:r>
          </w:p>
        </w:tc>
      </w:tr>
      <w:tr w14:paraId="2AA9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CE3B9B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21</w:t>
            </w:r>
          </w:p>
        </w:tc>
        <w:tc>
          <w:tcPr>
            <w:tcW w:w="1277" w:type="dxa"/>
            <w:noWrap w:val="0"/>
            <w:vAlign w:val="center"/>
          </w:tcPr>
          <w:p w14:paraId="168DB3FB">
            <w:pPr>
              <w:pStyle w:val="143"/>
              <w:jc w:val="both"/>
              <w:rPr>
                <w:bCs/>
                <w:color w:val="auto"/>
                <w:sz w:val="24"/>
                <w:highlight w:val="none"/>
              </w:rPr>
            </w:pPr>
            <w:r>
              <w:rPr>
                <w:rFonts w:hint="eastAsia"/>
                <w:bCs/>
                <w:color w:val="auto"/>
                <w:sz w:val="24"/>
                <w:highlight w:val="none"/>
              </w:rPr>
              <w:t>确定成交供应商</w:t>
            </w:r>
          </w:p>
        </w:tc>
        <w:tc>
          <w:tcPr>
            <w:tcW w:w="6429" w:type="dxa"/>
            <w:noWrap w:val="0"/>
            <w:vAlign w:val="center"/>
          </w:tcPr>
          <w:p w14:paraId="2E43DDB8">
            <w:pPr>
              <w:pStyle w:val="143"/>
              <w:jc w:val="both"/>
              <w:rPr>
                <w:rFonts w:ascii="Times New Roman" w:hAnsi="Times New Roman" w:cs="Times New Roman"/>
                <w:color w:val="auto"/>
                <w:kern w:val="0"/>
                <w:sz w:val="24"/>
                <w:szCs w:val="24"/>
                <w:highlight w:val="none"/>
                <w:lang w:val="en-US" w:eastAsia="zh-CN" w:bidi="ar-SA"/>
              </w:rPr>
            </w:pPr>
            <w:r>
              <w:rPr>
                <w:rFonts w:ascii="Times New Roman" w:hAnsi="Times New Roman" w:cs="Times New Roman"/>
                <w:bCs/>
                <w:color w:val="auto"/>
                <w:sz w:val="24"/>
                <w:szCs w:val="24"/>
                <w:highlight w:val="none"/>
              </w:rPr>
              <w:t>采购人从磋商小组提出的成交候选供应商中，按照排序由高到低的顺序，确定成交供应商</w:t>
            </w:r>
            <w:r>
              <w:rPr>
                <w:rFonts w:ascii="Times New Roman" w:hAnsi="Times New Roman" w:cs="Times New Roman"/>
                <w:color w:val="auto"/>
                <w:sz w:val="24"/>
                <w:szCs w:val="24"/>
                <w:highlight w:val="none"/>
                <w:lang w:val="en-US"/>
              </w:rPr>
              <w:t>。</w:t>
            </w:r>
          </w:p>
        </w:tc>
      </w:tr>
      <w:tr w14:paraId="6A0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B64ED3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22</w:t>
            </w:r>
          </w:p>
        </w:tc>
        <w:tc>
          <w:tcPr>
            <w:tcW w:w="1277" w:type="dxa"/>
            <w:noWrap w:val="0"/>
            <w:vAlign w:val="center"/>
          </w:tcPr>
          <w:p w14:paraId="085EAE59">
            <w:pPr>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质疑联系方式</w:t>
            </w:r>
          </w:p>
        </w:tc>
        <w:tc>
          <w:tcPr>
            <w:tcW w:w="6429" w:type="dxa"/>
            <w:noWrap w:val="0"/>
            <w:vAlign w:val="center"/>
          </w:tcPr>
          <w:p w14:paraId="3708C8C1">
            <w:pPr>
              <w:pStyle w:val="2"/>
              <w:wordWrap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联系人：周丽  电话：13277333179</w:t>
            </w:r>
          </w:p>
          <w:p w14:paraId="51A646FD">
            <w:pPr>
              <w:pStyle w:val="2"/>
              <w:wordWrap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地址：洪湖市新堤茅江大道兴业小区103号门面洪湖市建坤工程咨询有限公司</w:t>
            </w:r>
          </w:p>
        </w:tc>
      </w:tr>
    </w:tbl>
    <w:p w14:paraId="61D5D472">
      <w:pPr>
        <w:spacing w:line="440" w:lineRule="exact"/>
        <w:ind w:firstLine="480" w:firstLineChars="200"/>
        <w:rPr>
          <w:rFonts w:ascii="Times New Roman" w:hAnsi="Times New Roman" w:eastAsia="黑体"/>
          <w:bCs/>
          <w:color w:val="auto"/>
          <w:sz w:val="24"/>
          <w:szCs w:val="24"/>
          <w:highlight w:val="none"/>
        </w:rPr>
      </w:pPr>
    </w:p>
    <w:p w14:paraId="0B4B36C2">
      <w:pPr>
        <w:spacing w:line="440" w:lineRule="exact"/>
        <w:ind w:firstLine="480" w:firstLineChars="200"/>
        <w:rPr>
          <w:rFonts w:ascii="Times New Roman" w:hAnsi="Times New Roman" w:eastAsia="黑体"/>
          <w:bCs/>
          <w:color w:val="auto"/>
          <w:sz w:val="24"/>
          <w:szCs w:val="24"/>
          <w:highlight w:val="none"/>
        </w:rPr>
      </w:pPr>
    </w:p>
    <w:p w14:paraId="093B6C6A">
      <w:pPr>
        <w:spacing w:line="440" w:lineRule="exact"/>
        <w:ind w:firstLine="480" w:firstLineChars="200"/>
        <w:rPr>
          <w:rFonts w:ascii="Times New Roman" w:hAnsi="Times New Roman" w:eastAsia="黑体"/>
          <w:bCs/>
          <w:color w:val="auto"/>
          <w:sz w:val="24"/>
          <w:szCs w:val="24"/>
          <w:highlight w:val="none"/>
        </w:rPr>
      </w:pPr>
    </w:p>
    <w:p w14:paraId="73B9703D">
      <w:pPr>
        <w:spacing w:line="440" w:lineRule="exact"/>
        <w:ind w:firstLine="480" w:firstLineChars="200"/>
        <w:rPr>
          <w:rFonts w:ascii="Times New Roman" w:hAnsi="Times New Roman" w:eastAsia="黑体"/>
          <w:bCs/>
          <w:color w:val="auto"/>
          <w:sz w:val="24"/>
          <w:szCs w:val="24"/>
          <w:highlight w:val="none"/>
        </w:rPr>
      </w:pPr>
    </w:p>
    <w:p w14:paraId="2A6B5828">
      <w:pPr>
        <w:spacing w:line="440" w:lineRule="exact"/>
        <w:ind w:firstLine="480" w:firstLineChars="200"/>
        <w:rPr>
          <w:rFonts w:ascii="Times New Roman" w:hAnsi="Times New Roman" w:eastAsia="黑体"/>
          <w:bCs/>
          <w:color w:val="auto"/>
          <w:sz w:val="24"/>
          <w:szCs w:val="24"/>
          <w:highlight w:val="none"/>
        </w:rPr>
      </w:pPr>
    </w:p>
    <w:p w14:paraId="2D6621F8">
      <w:pPr>
        <w:widowControl/>
        <w:jc w:val="left"/>
        <w:rPr>
          <w:rFonts w:eastAsia="黑体"/>
          <w:bCs/>
          <w:color w:val="auto"/>
          <w:sz w:val="24"/>
          <w:highlight w:val="none"/>
        </w:rPr>
      </w:pPr>
    </w:p>
    <w:p w14:paraId="6E5427AD">
      <w:pPr>
        <w:widowControl/>
        <w:jc w:val="left"/>
        <w:rPr>
          <w:rFonts w:eastAsia="黑体"/>
          <w:bCs/>
          <w:color w:val="auto"/>
          <w:sz w:val="24"/>
          <w:highlight w:val="none"/>
        </w:rPr>
      </w:pPr>
    </w:p>
    <w:p w14:paraId="755BA74C">
      <w:pPr>
        <w:widowControl/>
        <w:jc w:val="left"/>
        <w:rPr>
          <w:rFonts w:eastAsia="黑体"/>
          <w:bCs/>
          <w:color w:val="auto"/>
          <w:sz w:val="24"/>
          <w:highlight w:val="none"/>
        </w:rPr>
      </w:pPr>
    </w:p>
    <w:p w14:paraId="728B212F">
      <w:pPr>
        <w:widowControl/>
        <w:jc w:val="left"/>
        <w:rPr>
          <w:rFonts w:eastAsia="黑体"/>
          <w:bCs/>
          <w:color w:val="auto"/>
          <w:sz w:val="24"/>
          <w:highlight w:val="none"/>
        </w:rPr>
      </w:pPr>
    </w:p>
    <w:p w14:paraId="30344252">
      <w:pPr>
        <w:widowControl/>
        <w:jc w:val="left"/>
        <w:rPr>
          <w:rFonts w:eastAsia="黑体"/>
          <w:bCs/>
          <w:color w:val="auto"/>
          <w:sz w:val="24"/>
          <w:highlight w:val="none"/>
        </w:rPr>
      </w:pPr>
    </w:p>
    <w:p w14:paraId="73C128FD">
      <w:pPr>
        <w:widowControl/>
        <w:jc w:val="left"/>
        <w:rPr>
          <w:rFonts w:eastAsia="黑体"/>
          <w:bCs/>
          <w:color w:val="auto"/>
          <w:sz w:val="24"/>
          <w:highlight w:val="none"/>
        </w:rPr>
      </w:pPr>
    </w:p>
    <w:p w14:paraId="37F0C9E6">
      <w:pPr>
        <w:widowControl/>
        <w:jc w:val="left"/>
        <w:rPr>
          <w:rFonts w:eastAsia="黑体"/>
          <w:bCs/>
          <w:color w:val="auto"/>
          <w:sz w:val="24"/>
          <w:highlight w:val="none"/>
        </w:rPr>
      </w:pPr>
    </w:p>
    <w:p w14:paraId="09AC2D7D">
      <w:pPr>
        <w:widowControl/>
        <w:jc w:val="left"/>
        <w:rPr>
          <w:rFonts w:eastAsia="黑体"/>
          <w:bCs/>
          <w:color w:val="auto"/>
          <w:sz w:val="24"/>
          <w:highlight w:val="none"/>
        </w:rPr>
      </w:pPr>
    </w:p>
    <w:p w14:paraId="746FC64A">
      <w:pPr>
        <w:widowControl/>
        <w:jc w:val="left"/>
        <w:rPr>
          <w:rFonts w:eastAsia="黑体"/>
          <w:bCs/>
          <w:color w:val="auto"/>
          <w:sz w:val="24"/>
          <w:highlight w:val="none"/>
        </w:rPr>
      </w:pPr>
    </w:p>
    <w:p w14:paraId="503ED464">
      <w:pPr>
        <w:widowControl/>
        <w:jc w:val="left"/>
        <w:rPr>
          <w:rFonts w:eastAsia="黑体"/>
          <w:bCs/>
          <w:color w:val="auto"/>
          <w:sz w:val="24"/>
          <w:highlight w:val="none"/>
        </w:rPr>
      </w:pPr>
    </w:p>
    <w:p w14:paraId="6DFF1E81">
      <w:pPr>
        <w:widowControl/>
        <w:jc w:val="left"/>
        <w:rPr>
          <w:rFonts w:eastAsia="黑体"/>
          <w:bCs/>
          <w:color w:val="auto"/>
          <w:sz w:val="24"/>
          <w:highlight w:val="none"/>
        </w:rPr>
      </w:pPr>
    </w:p>
    <w:p w14:paraId="673B38BA">
      <w:pPr>
        <w:widowControl/>
        <w:jc w:val="left"/>
        <w:rPr>
          <w:rFonts w:eastAsia="黑体"/>
          <w:bCs/>
          <w:color w:val="auto"/>
          <w:sz w:val="24"/>
          <w:highlight w:val="none"/>
        </w:rPr>
      </w:pPr>
    </w:p>
    <w:p w14:paraId="592C1B08">
      <w:pPr>
        <w:widowControl/>
        <w:jc w:val="left"/>
        <w:rPr>
          <w:rFonts w:eastAsia="黑体"/>
          <w:bCs/>
          <w:color w:val="auto"/>
          <w:sz w:val="24"/>
          <w:highlight w:val="none"/>
        </w:rPr>
      </w:pPr>
    </w:p>
    <w:p w14:paraId="593F2046">
      <w:pPr>
        <w:widowControl/>
        <w:jc w:val="left"/>
        <w:rPr>
          <w:rFonts w:eastAsia="黑体"/>
          <w:bCs/>
          <w:color w:val="auto"/>
          <w:sz w:val="24"/>
          <w:highlight w:val="none"/>
        </w:rPr>
      </w:pPr>
    </w:p>
    <w:p w14:paraId="2D686CB1">
      <w:pPr>
        <w:widowControl/>
        <w:jc w:val="left"/>
        <w:rPr>
          <w:rFonts w:eastAsia="黑体"/>
          <w:bCs/>
          <w:color w:val="auto"/>
          <w:sz w:val="24"/>
          <w:highlight w:val="none"/>
        </w:rPr>
      </w:pPr>
    </w:p>
    <w:p w14:paraId="0AB7174C">
      <w:pPr>
        <w:widowControl/>
        <w:jc w:val="left"/>
        <w:rPr>
          <w:rFonts w:eastAsia="黑体"/>
          <w:bCs/>
          <w:color w:val="auto"/>
          <w:sz w:val="24"/>
          <w:highlight w:val="none"/>
        </w:rPr>
      </w:pPr>
    </w:p>
    <w:p w14:paraId="6A4E1F5F">
      <w:pPr>
        <w:pStyle w:val="29"/>
        <w:rPr>
          <w:rFonts w:eastAsia="黑体"/>
          <w:bCs/>
          <w:color w:val="auto"/>
          <w:sz w:val="24"/>
          <w:highlight w:val="none"/>
        </w:rPr>
      </w:pPr>
    </w:p>
    <w:p w14:paraId="460262EF">
      <w:pPr>
        <w:pStyle w:val="29"/>
        <w:rPr>
          <w:rFonts w:eastAsia="黑体"/>
          <w:bCs/>
          <w:color w:val="auto"/>
          <w:sz w:val="24"/>
          <w:highlight w:val="none"/>
        </w:rPr>
      </w:pPr>
    </w:p>
    <w:p w14:paraId="66F7BF84">
      <w:pPr>
        <w:widowControl/>
        <w:jc w:val="left"/>
        <w:rPr>
          <w:rFonts w:eastAsia="黑体"/>
          <w:bCs/>
          <w:color w:val="auto"/>
          <w:sz w:val="24"/>
          <w:highlight w:val="none"/>
        </w:rPr>
      </w:pPr>
    </w:p>
    <w:p w14:paraId="7A580B5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一、总</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则</w:t>
      </w:r>
    </w:p>
    <w:p w14:paraId="3A7159B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适用范围</w:t>
      </w:r>
    </w:p>
    <w:p w14:paraId="568332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本文件仅适用于本文件中所叙述的</w:t>
      </w:r>
      <w:r>
        <w:rPr>
          <w:rFonts w:hint="eastAsia" w:ascii="Times New Roman" w:hAnsi="Times New Roman"/>
          <w:bCs/>
          <w:color w:val="auto"/>
          <w:sz w:val="24"/>
          <w:szCs w:val="24"/>
          <w:highlight w:val="none"/>
          <w:lang w:eastAsia="zh-CN"/>
        </w:rPr>
        <w:t>服务</w:t>
      </w:r>
      <w:r>
        <w:rPr>
          <w:rFonts w:hint="eastAsia" w:ascii="Times New Roman" w:hAnsi="Times New Roman"/>
          <w:bCs/>
          <w:color w:val="auto"/>
          <w:sz w:val="24"/>
          <w:szCs w:val="24"/>
          <w:highlight w:val="none"/>
        </w:rPr>
        <w:t>类政府采购项目</w:t>
      </w:r>
      <w:r>
        <w:rPr>
          <w:rFonts w:ascii="Times New Roman" w:hAnsi="Times New Roman"/>
          <w:bCs/>
          <w:color w:val="auto"/>
          <w:sz w:val="24"/>
          <w:szCs w:val="24"/>
          <w:highlight w:val="none"/>
        </w:rPr>
        <w:t>。</w:t>
      </w:r>
    </w:p>
    <w:p w14:paraId="5B49BF3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定义</w:t>
      </w:r>
    </w:p>
    <w:p w14:paraId="312D287A">
      <w:pPr>
        <w:spacing w:line="440" w:lineRule="exact"/>
        <w:ind w:firstLine="480" w:firstLineChars="200"/>
        <w:rPr>
          <w:rFonts w:hint="eastAsia" w:ascii="Times New Roman" w:hAnsi="Times New Roman"/>
          <w:bCs/>
          <w:color w:val="auto"/>
          <w:sz w:val="24"/>
          <w:szCs w:val="24"/>
          <w:highlight w:val="none"/>
          <w:lang w:val="en-US"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1“采购人”是指：</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r>
        <w:rPr>
          <w:rFonts w:hint="eastAsia" w:ascii="Times New Roman" w:hAnsi="Times New Roman"/>
          <w:color w:val="auto"/>
          <w:kern w:val="0"/>
          <w:sz w:val="24"/>
          <w:highlight w:val="none"/>
          <w:lang w:val="en-US" w:eastAsia="zh-CN"/>
        </w:rPr>
        <w:t xml:space="preserve"> </w:t>
      </w:r>
    </w:p>
    <w:p w14:paraId="78FC8F6C">
      <w:pPr>
        <w:spacing w:line="440" w:lineRule="exact"/>
        <w:ind w:firstLine="480" w:firstLineChars="200"/>
        <w:rPr>
          <w:rFonts w:hint="eastAsia" w:ascii="Times New Roman" w:hAnsi="Times New Roman" w:eastAsia="宋体"/>
          <w:bCs/>
          <w:color w:val="auto"/>
          <w:sz w:val="24"/>
          <w:szCs w:val="24"/>
          <w:highlight w:val="none"/>
          <w:lang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机构”是指：</w:t>
      </w:r>
      <w:r>
        <w:rPr>
          <w:rFonts w:hint="eastAsia" w:ascii="Times New Roman" w:hAnsi="Times New Roman"/>
          <w:bCs/>
          <w:color w:val="auto"/>
          <w:sz w:val="24"/>
          <w:highlight w:val="none"/>
          <w:lang w:eastAsia="zh-CN"/>
        </w:rPr>
        <w:t>洪湖市建坤工程咨询有限公司</w:t>
      </w:r>
    </w:p>
    <w:p w14:paraId="6E30A54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rPr>
        <w:t>“磋商文件”是指：竞争性磋商文件。</w:t>
      </w:r>
    </w:p>
    <w:p w14:paraId="5CFCE4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rPr>
        <w:t>“供应商”是指：获得该项目磋商小组确定参加竞争性磋商的法人、其他组织或者自然人。如果该供应商在本次磋商中成交,即成为“成交供应商”。</w:t>
      </w:r>
    </w:p>
    <w:p w14:paraId="2CA221A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5</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是指：成交供应商按采购文件规定，向采购人提供的一切货物及其相关服务。根据《政府采购法》的相关规定均应是本国货物，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须知前附表》另有规定的除外</w:t>
      </w:r>
      <w:r>
        <w:rPr>
          <w:rFonts w:hint="eastAsia" w:ascii="Times New Roman" w:hAnsi="Times New Roman"/>
          <w:bCs/>
          <w:color w:val="auto"/>
          <w:sz w:val="24"/>
          <w:szCs w:val="24"/>
          <w:highlight w:val="none"/>
        </w:rPr>
        <w:t>。</w:t>
      </w:r>
    </w:p>
    <w:p w14:paraId="70379EE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6</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服务</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是指：成交供应商按采购文件规定向采购人提供的所有服务。</w:t>
      </w:r>
    </w:p>
    <w:p w14:paraId="5B3A06D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Times New Roman" w:hAnsi="Times New Roman"/>
          <w:bCs/>
          <w:color w:val="auto"/>
          <w:sz w:val="24"/>
          <w:szCs w:val="24"/>
          <w:highlight w:val="none"/>
        </w:rPr>
        <w:t>“响应文件”是指：供供应商根据本文件要求编制包含价格、技术、服务和合同草案条款等所有内容的文件。</w:t>
      </w:r>
    </w:p>
    <w:p w14:paraId="7DFD40C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78B05B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1具备《政府采购法》第二十二条第一款规定的条件，并提供以下证明材料：</w:t>
      </w:r>
    </w:p>
    <w:p w14:paraId="6E0682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1）法人或者其他组织的营业执照等证明文件，如供应商是自然人的提供身份证明材料；</w:t>
      </w:r>
    </w:p>
    <w:p w14:paraId="3B438A9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2）财务状况报告，依法缴纳税收和社会保障资金的相关材料；</w:t>
      </w:r>
    </w:p>
    <w:p w14:paraId="1F4D02C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3）具备履行合同所必需的设备和专业技术能力的证明材料；</w:t>
      </w:r>
    </w:p>
    <w:p w14:paraId="3D6E7B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4）参加政府采购活动前3年内在经营活动中没有重大违法记录的书面声明；</w:t>
      </w:r>
    </w:p>
    <w:p w14:paraId="6DDD771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2如经营、开发或承担本采购项目的货物、服务国家有相关资质要求、或强制性规范、或行业标准的，应已经取得并提供相应的资质证书；</w:t>
      </w:r>
    </w:p>
    <w:p w14:paraId="6B4C981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3未被列入“信用中国”网站(www.creditchina. gov.cn)失信被执行人、重大税收违法案件当事人名单、政府采购严重违法失信行为记录名单的网页打印件。</w:t>
      </w:r>
    </w:p>
    <w:p w14:paraId="02208A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4本文件第一章第</w:t>
      </w:r>
      <w:r>
        <w:rPr>
          <w:rFonts w:hint="eastAsia" w:ascii="Times New Roman" w:hAnsi="Times New Roman"/>
          <w:bCs/>
          <w:color w:val="auto"/>
          <w:sz w:val="24"/>
          <w:szCs w:val="24"/>
          <w:highlight w:val="none"/>
          <w:lang w:eastAsia="zh-CN"/>
        </w:rPr>
        <w:t>二</w:t>
      </w:r>
      <w:r>
        <w:rPr>
          <w:rFonts w:ascii="Times New Roman" w:hAnsi="Times New Roman"/>
          <w:bCs/>
          <w:color w:val="auto"/>
          <w:sz w:val="24"/>
          <w:szCs w:val="24"/>
          <w:highlight w:val="none"/>
        </w:rPr>
        <w:t>条除上述以外的条款。</w:t>
      </w:r>
    </w:p>
    <w:p w14:paraId="2CF19A0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费用</w:t>
      </w:r>
    </w:p>
    <w:p w14:paraId="332838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1供应商应自行承担所有与编写和提交响应文件有关的费用，不论磋商结果如何，采购人和</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机构在任何情况下无义务和责任承担此类费用。</w:t>
      </w:r>
    </w:p>
    <w:p w14:paraId="7DB6D35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二、响应文件的编制</w:t>
      </w:r>
    </w:p>
    <w:p w14:paraId="16295C0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响应文件编制基本要求</w:t>
      </w:r>
    </w:p>
    <w:p w14:paraId="75BC3B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1响应文件以及与</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机构和采购人就有关磋商的所有来往函电均应使用简体中文。</w:t>
      </w:r>
    </w:p>
    <w:p w14:paraId="2A5D35A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2供应商应认真阅读、并充分理解本文件的全部内容（包括所有的补充、修改内容），承诺并履行本文件中各项条款规定及要求。</w:t>
      </w:r>
    </w:p>
    <w:p w14:paraId="60C4570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499B97D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4如因供应商只填写和提供了本文件要求的部分内容和附件，磋商小组有权拒绝其补充和磋商。</w:t>
      </w:r>
    </w:p>
    <w:p w14:paraId="7EC253A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5响应文件的组成</w:t>
      </w:r>
    </w:p>
    <w:p w14:paraId="51494CC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不限于以下内容,应该有的必须提供,如未提供,磋商小组有权</w:t>
      </w:r>
      <w:r>
        <w:rPr>
          <w:rFonts w:ascii="Times New Roman" w:hAnsi="Times New Roman"/>
          <w:b/>
          <w:bCs w:val="0"/>
          <w:color w:val="auto"/>
          <w:sz w:val="24"/>
          <w:szCs w:val="24"/>
          <w:highlight w:val="none"/>
        </w:rPr>
        <w:t>拒绝其响应文件</w:t>
      </w:r>
      <w:r>
        <w:rPr>
          <w:rFonts w:ascii="Times New Roman" w:hAnsi="Times New Roman"/>
          <w:bCs/>
          <w:color w:val="auto"/>
          <w:sz w:val="24"/>
          <w:szCs w:val="24"/>
          <w:highlight w:val="none"/>
        </w:rPr>
        <w:t>：</w:t>
      </w:r>
    </w:p>
    <w:p w14:paraId="3488AA18">
      <w:pPr>
        <w:spacing w:line="440" w:lineRule="exact"/>
        <w:ind w:left="362" w:leftChars="1" w:hanging="360" w:hangingChars="150"/>
        <w:rPr>
          <w:bCs/>
          <w:color w:val="auto"/>
          <w:sz w:val="24"/>
          <w:highlight w:val="none"/>
        </w:rPr>
      </w:pPr>
      <w:r>
        <w:rPr>
          <w:rFonts w:hint="eastAsia"/>
          <w:bCs/>
          <w:color w:val="auto"/>
          <w:sz w:val="24"/>
          <w:highlight w:val="none"/>
        </w:rPr>
        <w:t>1）磋商书(附件1)；</w:t>
      </w:r>
    </w:p>
    <w:p w14:paraId="7BC116B7">
      <w:pPr>
        <w:spacing w:line="440" w:lineRule="exact"/>
        <w:ind w:left="362" w:leftChars="1" w:hanging="360" w:hangingChars="150"/>
        <w:rPr>
          <w:bCs/>
          <w:color w:val="auto"/>
          <w:sz w:val="24"/>
          <w:highlight w:val="none"/>
        </w:rPr>
      </w:pPr>
      <w:r>
        <w:rPr>
          <w:rFonts w:hint="eastAsia"/>
          <w:bCs/>
          <w:color w:val="auto"/>
          <w:sz w:val="24"/>
          <w:highlight w:val="none"/>
        </w:rPr>
        <w:t>2）报价组成情况表(附件2)；</w:t>
      </w:r>
    </w:p>
    <w:p w14:paraId="0BA4C769">
      <w:pPr>
        <w:spacing w:line="440" w:lineRule="exact"/>
        <w:ind w:left="362" w:leftChars="1" w:hanging="360" w:hangingChars="150"/>
        <w:rPr>
          <w:bCs/>
          <w:color w:val="auto"/>
          <w:sz w:val="24"/>
          <w:highlight w:val="none"/>
        </w:rPr>
      </w:pPr>
      <w:r>
        <w:rPr>
          <w:rFonts w:hint="eastAsia"/>
          <w:bCs/>
          <w:color w:val="auto"/>
          <w:sz w:val="24"/>
          <w:highlight w:val="none"/>
        </w:rPr>
        <w:t>3）货物（服务）清单(附件3)；</w:t>
      </w:r>
    </w:p>
    <w:p w14:paraId="54C53329">
      <w:pPr>
        <w:spacing w:line="440" w:lineRule="exact"/>
        <w:ind w:left="362" w:leftChars="1" w:hanging="360" w:hangingChars="150"/>
        <w:rPr>
          <w:bCs/>
          <w:color w:val="auto"/>
          <w:sz w:val="24"/>
          <w:highlight w:val="none"/>
        </w:rPr>
      </w:pPr>
      <w:r>
        <w:rPr>
          <w:rFonts w:hint="eastAsia"/>
          <w:bCs/>
          <w:color w:val="auto"/>
          <w:sz w:val="24"/>
          <w:highlight w:val="none"/>
        </w:rPr>
        <w:t>4）资格性符合性检查对照表(附件4)；</w:t>
      </w:r>
    </w:p>
    <w:p w14:paraId="0ED785EC">
      <w:pPr>
        <w:spacing w:line="440" w:lineRule="exact"/>
        <w:ind w:left="362" w:leftChars="1" w:hanging="360" w:hangingChars="150"/>
        <w:rPr>
          <w:bCs/>
          <w:color w:val="auto"/>
          <w:sz w:val="24"/>
          <w:highlight w:val="none"/>
        </w:rPr>
      </w:pPr>
      <w:r>
        <w:rPr>
          <w:rFonts w:hint="eastAsia"/>
          <w:bCs/>
          <w:color w:val="auto"/>
          <w:sz w:val="24"/>
          <w:highlight w:val="none"/>
        </w:rPr>
        <w:t>5）技术响应、偏离情况说明表(附件5)；</w:t>
      </w:r>
    </w:p>
    <w:p w14:paraId="66DB814A">
      <w:pPr>
        <w:spacing w:line="440" w:lineRule="exact"/>
        <w:ind w:left="362" w:leftChars="1" w:hanging="360" w:hangingChars="150"/>
        <w:rPr>
          <w:bCs/>
          <w:color w:val="auto"/>
          <w:sz w:val="24"/>
          <w:highlight w:val="none"/>
        </w:rPr>
      </w:pPr>
      <w:r>
        <w:rPr>
          <w:rFonts w:hint="eastAsia"/>
          <w:bCs/>
          <w:color w:val="auto"/>
          <w:sz w:val="24"/>
          <w:highlight w:val="none"/>
        </w:rPr>
        <w:t>6）合同草案条款响应、偏离情况说明表(附件6)；</w:t>
      </w:r>
    </w:p>
    <w:p w14:paraId="0718A69C">
      <w:pPr>
        <w:spacing w:line="440" w:lineRule="exact"/>
        <w:ind w:left="362" w:leftChars="1" w:hanging="360" w:hangingChars="150"/>
        <w:rPr>
          <w:bCs/>
          <w:color w:val="auto"/>
          <w:sz w:val="24"/>
          <w:highlight w:val="none"/>
        </w:rPr>
      </w:pPr>
      <w:r>
        <w:rPr>
          <w:rFonts w:hint="eastAsia"/>
          <w:bCs/>
          <w:color w:val="auto"/>
          <w:sz w:val="24"/>
          <w:highlight w:val="none"/>
        </w:rPr>
        <w:t>7）法人（负责人）代表授权书(附件7)；</w:t>
      </w:r>
    </w:p>
    <w:p w14:paraId="1219975C">
      <w:pPr>
        <w:spacing w:line="440" w:lineRule="exact"/>
        <w:ind w:left="362"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714750A3">
      <w:pPr>
        <w:spacing w:line="440" w:lineRule="exact"/>
        <w:ind w:left="362" w:leftChars="1" w:hanging="360" w:hangingChars="150"/>
        <w:rPr>
          <w:bCs/>
          <w:color w:val="auto"/>
          <w:sz w:val="24"/>
          <w:highlight w:val="none"/>
        </w:rPr>
      </w:pPr>
      <w:r>
        <w:rPr>
          <w:rFonts w:hint="eastAsia"/>
          <w:bCs/>
          <w:color w:val="auto"/>
          <w:sz w:val="24"/>
          <w:highlight w:val="none"/>
        </w:rPr>
        <w:t>9）符合国家相关规定的财务状况报告书面承诺书，依法缴纳税收和社会保障资金的书面承诺书(附件9)；</w:t>
      </w:r>
    </w:p>
    <w:p w14:paraId="16D1272F">
      <w:pPr>
        <w:spacing w:line="440" w:lineRule="exact"/>
        <w:ind w:left="362" w:leftChars="1" w:hanging="360" w:hangingChars="150"/>
        <w:rPr>
          <w:bCs/>
          <w:color w:val="auto"/>
          <w:sz w:val="24"/>
          <w:highlight w:val="none"/>
        </w:rPr>
      </w:pPr>
      <w:r>
        <w:rPr>
          <w:rFonts w:hint="eastAsia"/>
          <w:bCs/>
          <w:color w:val="auto"/>
          <w:sz w:val="24"/>
          <w:highlight w:val="none"/>
        </w:rPr>
        <w:t>10）具备履行合同所必需的设备和专业技术能力的书面承诺书(附件10)；</w:t>
      </w:r>
    </w:p>
    <w:p w14:paraId="12A04138">
      <w:pPr>
        <w:spacing w:line="440" w:lineRule="exact"/>
        <w:ind w:left="362" w:leftChars="1" w:hanging="360" w:hangingChars="150"/>
        <w:rPr>
          <w:bCs/>
          <w:color w:val="auto"/>
          <w:sz w:val="24"/>
          <w:highlight w:val="none"/>
        </w:rPr>
      </w:pPr>
      <w:r>
        <w:rPr>
          <w:rFonts w:hint="eastAsia"/>
          <w:bCs/>
          <w:color w:val="auto"/>
          <w:sz w:val="24"/>
          <w:highlight w:val="none"/>
        </w:rPr>
        <w:t>11）参加政府采购活动前3年内在经营活动中没有重大违法记录的书面声明(附件11)；</w:t>
      </w:r>
    </w:p>
    <w:p w14:paraId="192B1B52">
      <w:pPr>
        <w:spacing w:line="440" w:lineRule="exact"/>
        <w:ind w:left="362" w:leftChars="1" w:hanging="360" w:hangingChars="150"/>
        <w:rPr>
          <w:bCs/>
          <w:color w:val="auto"/>
          <w:sz w:val="24"/>
          <w:highlight w:val="none"/>
        </w:rPr>
      </w:pPr>
      <w:r>
        <w:rPr>
          <w:rFonts w:hint="eastAsia"/>
          <w:bCs/>
          <w:color w:val="auto"/>
          <w:sz w:val="24"/>
          <w:highlight w:val="none"/>
        </w:rPr>
        <w:t>12）</w:t>
      </w:r>
      <w:r>
        <w:rPr>
          <w:rFonts w:hint="eastAsia" w:ascii="宋体" w:hAnsi="宋体" w:cs="宋体"/>
          <w:color w:val="auto"/>
          <w:kern w:val="0"/>
          <w:sz w:val="24"/>
          <w:highlight w:val="none"/>
        </w:rPr>
        <w:t>未被列入“信用中国”网站（www.creditchina.gov.cn）失信被执行人和重大税收违法案件当事人名单以及“中国政府采购网”(www.ccgp.gov.cn)的政府采购严重违法失信行为记录名单</w:t>
      </w:r>
      <w:r>
        <w:rPr>
          <w:bCs/>
          <w:color w:val="auto"/>
          <w:sz w:val="24"/>
          <w:highlight w:val="none"/>
          <w:lang w:bidi="ar-EG"/>
        </w:rPr>
        <w:t>的</w:t>
      </w:r>
      <w:r>
        <w:rPr>
          <w:rFonts w:hint="eastAsia"/>
          <w:bCs/>
          <w:color w:val="auto"/>
          <w:sz w:val="24"/>
          <w:highlight w:val="none"/>
          <w:lang w:bidi="ar-EG"/>
        </w:rPr>
        <w:t>书面声明</w:t>
      </w:r>
      <w:r>
        <w:rPr>
          <w:rFonts w:hint="eastAsia"/>
          <w:bCs/>
          <w:color w:val="auto"/>
          <w:sz w:val="24"/>
          <w:highlight w:val="none"/>
        </w:rPr>
        <w:t>(附件12)。</w:t>
      </w:r>
    </w:p>
    <w:p w14:paraId="7901BF38">
      <w:pPr>
        <w:spacing w:line="440" w:lineRule="exact"/>
        <w:ind w:left="362" w:leftChars="1" w:hanging="360" w:hangingChars="150"/>
        <w:rPr>
          <w:bCs/>
          <w:color w:val="auto"/>
          <w:sz w:val="24"/>
          <w:highlight w:val="none"/>
        </w:rPr>
      </w:pPr>
      <w:r>
        <w:rPr>
          <w:rFonts w:hint="eastAsia"/>
          <w:color w:val="auto"/>
          <w:sz w:val="24"/>
          <w:highlight w:val="none"/>
        </w:rPr>
        <w:t>13）符合政府采购政策情况表</w:t>
      </w:r>
      <w:r>
        <w:rPr>
          <w:color w:val="auto"/>
          <w:sz w:val="24"/>
          <w:highlight w:val="none"/>
        </w:rPr>
        <w:t>(</w:t>
      </w:r>
      <w:r>
        <w:rPr>
          <w:rFonts w:hint="eastAsia"/>
          <w:color w:val="auto"/>
          <w:sz w:val="24"/>
          <w:highlight w:val="none"/>
        </w:rPr>
        <w:t>附件13</w:t>
      </w:r>
      <w:r>
        <w:rPr>
          <w:color w:val="auto"/>
          <w:sz w:val="24"/>
          <w:highlight w:val="none"/>
        </w:rPr>
        <w:t>)</w:t>
      </w:r>
      <w:r>
        <w:rPr>
          <w:rFonts w:hint="eastAsia"/>
          <w:color w:val="auto"/>
          <w:sz w:val="24"/>
          <w:highlight w:val="none"/>
        </w:rPr>
        <w:t>；</w:t>
      </w:r>
    </w:p>
    <w:p w14:paraId="11D5AEB9">
      <w:pPr>
        <w:spacing w:line="440" w:lineRule="exact"/>
        <w:ind w:left="362" w:leftChars="1" w:hanging="360" w:hangingChars="150"/>
        <w:rPr>
          <w:bCs/>
          <w:color w:val="auto"/>
          <w:sz w:val="24"/>
          <w:highlight w:val="none"/>
        </w:rPr>
      </w:pPr>
      <w:r>
        <w:rPr>
          <w:rFonts w:hint="eastAsia"/>
          <w:bCs/>
          <w:color w:val="auto"/>
          <w:sz w:val="24"/>
          <w:highlight w:val="none"/>
        </w:rPr>
        <w:t>14）《中小企业声明函》、《残疾人福利性单位声明函》、属于监狱企业的证明文件等（如果有的话）(附件13-</w:t>
      </w: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3</w:t>
      </w:r>
      <w:r>
        <w:rPr>
          <w:rFonts w:hint="eastAsia"/>
          <w:bCs/>
          <w:color w:val="auto"/>
          <w:sz w:val="24"/>
          <w:highlight w:val="none"/>
        </w:rPr>
        <w:t>)。</w:t>
      </w:r>
    </w:p>
    <w:p w14:paraId="682D13E9">
      <w:pPr>
        <w:spacing w:line="440" w:lineRule="exact"/>
        <w:ind w:left="362" w:leftChars="1" w:hanging="360" w:hangingChars="150"/>
        <w:rPr>
          <w:bCs/>
          <w:color w:val="auto"/>
          <w:sz w:val="24"/>
          <w:highlight w:val="none"/>
        </w:rPr>
      </w:pPr>
      <w:r>
        <w:rPr>
          <w:rFonts w:hint="eastAsia"/>
          <w:bCs/>
          <w:color w:val="auto"/>
          <w:sz w:val="24"/>
          <w:highlight w:val="none"/>
        </w:rPr>
        <w:t>15）</w:t>
      </w:r>
      <w:r>
        <w:rPr>
          <w:rFonts w:hint="eastAsia" w:cs="宋体"/>
          <w:color w:val="auto"/>
          <w:sz w:val="24"/>
          <w:highlight w:val="none"/>
        </w:rPr>
        <w:t>按</w:t>
      </w:r>
      <w:r>
        <w:rPr>
          <w:rFonts w:hint="eastAsia" w:cs="宋体"/>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75AF8233">
      <w:pPr>
        <w:spacing w:line="440" w:lineRule="exact"/>
        <w:ind w:firstLine="480" w:firstLineChars="200"/>
        <w:rPr>
          <w:rFonts w:ascii="Times New Roman" w:hAnsi="Times New Roman"/>
          <w:bCs/>
          <w:color w:val="auto"/>
          <w:sz w:val="24"/>
          <w:szCs w:val="24"/>
          <w:highlight w:val="none"/>
        </w:rPr>
      </w:pPr>
    </w:p>
    <w:p w14:paraId="05E7997B">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计量单位</w:t>
      </w:r>
    </w:p>
    <w:p w14:paraId="6C435DD9">
      <w:pPr>
        <w:spacing w:line="440" w:lineRule="exact"/>
        <w:ind w:firstLine="480" w:firstLineChars="200"/>
        <w:rPr>
          <w:rFonts w:ascii="Times New Roman" w:hAnsi="Times New Roman"/>
          <w:bCs/>
          <w:color w:val="auto"/>
          <w:spacing w:val="-6"/>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1除</w:t>
      </w:r>
      <w:r>
        <w:rPr>
          <w:rFonts w:ascii="Times New Roman" w:hAnsi="Times New Roman"/>
          <w:bCs/>
          <w:color w:val="auto"/>
          <w:spacing w:val="-6"/>
          <w:sz w:val="24"/>
          <w:szCs w:val="24"/>
          <w:highlight w:val="none"/>
        </w:rPr>
        <w:t>技术要求中另有规定外，本文件所使用的计量单位均应采用国家法定计量单位。</w:t>
      </w:r>
    </w:p>
    <w:p w14:paraId="69BB029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三、响应文件有效期</w:t>
      </w:r>
    </w:p>
    <w:p w14:paraId="7060A0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ascii="宋体" w:hAnsi="宋体"/>
          <w:color w:val="auto"/>
          <w:sz w:val="24"/>
          <w:szCs w:val="24"/>
          <w:highlight w:val="none"/>
        </w:rPr>
        <w:t>.</w:t>
      </w:r>
      <w:r>
        <w:rPr>
          <w:rFonts w:ascii="Times New Roman" w:hAnsi="Times New Roman"/>
          <w:bCs/>
          <w:color w:val="auto"/>
          <w:sz w:val="24"/>
          <w:szCs w:val="24"/>
          <w:highlight w:val="none"/>
        </w:rPr>
        <w:t>本项目磋商内容自磋商之日算</w:t>
      </w:r>
      <w:r>
        <w:rPr>
          <w:rFonts w:ascii="Times New Roman" w:hAnsi="Times New Roman"/>
          <w:bCs/>
          <w:color w:val="auto"/>
          <w:sz w:val="24"/>
          <w:highlight w:val="none"/>
        </w:rPr>
        <w:t>起（</w:t>
      </w:r>
      <w:r>
        <w:rPr>
          <w:rFonts w:hint="eastAsia" w:ascii="Times New Roman" w:hAnsi="Times New Roman"/>
          <w:bCs/>
          <w:color w:val="auto"/>
          <w:sz w:val="24"/>
          <w:highlight w:val="none"/>
          <w:lang w:val="en-US" w:eastAsia="zh-CN"/>
        </w:rPr>
        <w:t>90</w:t>
      </w:r>
      <w:r>
        <w:rPr>
          <w:rFonts w:ascii="Times New Roman" w:hAnsi="Times New Roman"/>
          <w:bCs/>
          <w:color w:val="auto"/>
          <w:sz w:val="24"/>
          <w:highlight w:val="none"/>
        </w:rPr>
        <w:t>）日历日内</w:t>
      </w:r>
      <w:r>
        <w:rPr>
          <w:rFonts w:ascii="Times New Roman" w:hAnsi="Times New Roman"/>
          <w:bCs/>
          <w:color w:val="auto"/>
          <w:sz w:val="24"/>
          <w:szCs w:val="24"/>
          <w:highlight w:val="none"/>
        </w:rPr>
        <w:t>保持有效。磋商结束后，在有效期内供应商不得改变磋商报价、服务期及承诺的全部义务。响应文件有效期比本文件规定短的，磋商小组将视</w:t>
      </w:r>
      <w:r>
        <w:rPr>
          <w:rFonts w:ascii="Times New Roman" w:hAnsi="Times New Roman"/>
          <w:b/>
          <w:bCs w:val="0"/>
          <w:color w:val="auto"/>
          <w:sz w:val="24"/>
          <w:szCs w:val="24"/>
          <w:highlight w:val="none"/>
        </w:rPr>
        <w:t>响应文件无效予以拒绝</w:t>
      </w:r>
      <w:r>
        <w:rPr>
          <w:rFonts w:ascii="Times New Roman" w:hAnsi="Times New Roman"/>
          <w:bCs/>
          <w:color w:val="auto"/>
          <w:sz w:val="24"/>
          <w:szCs w:val="24"/>
          <w:highlight w:val="none"/>
        </w:rPr>
        <w:t>。</w:t>
      </w:r>
    </w:p>
    <w:p w14:paraId="4A2986A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ascii="宋体" w:hAnsi="宋体"/>
          <w:color w:val="auto"/>
          <w:sz w:val="24"/>
          <w:szCs w:val="24"/>
          <w:highlight w:val="none"/>
        </w:rPr>
        <w:t>.</w:t>
      </w:r>
      <w:r>
        <w:rPr>
          <w:rFonts w:ascii="Times New Roman" w:hAnsi="Times New Roman"/>
          <w:bCs/>
          <w:color w:val="auto"/>
          <w:sz w:val="24"/>
          <w:szCs w:val="24"/>
          <w:highlight w:val="none"/>
        </w:rPr>
        <w:t>在特殊情况下，在原磋商有效期满之前，</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机构可向供应商提出延长磋商有效期的要求。这种要求与答复均应采用书面形式。供应商可以拒绝</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机构的要求，但其响应文件在原有效期期满后将不再有效。同意延长磋商有效期的供应商不允许修改其响应文件。</w:t>
      </w:r>
    </w:p>
    <w:p w14:paraId="01A8AD9D">
      <w:pPr>
        <w:spacing w:line="440" w:lineRule="exact"/>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四、报价要求</w:t>
      </w:r>
    </w:p>
    <w:p w14:paraId="6B86E6F3">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ascii="宋体" w:hAnsi="宋体"/>
          <w:color w:val="auto"/>
          <w:sz w:val="24"/>
          <w:szCs w:val="24"/>
          <w:highlight w:val="none"/>
        </w:rPr>
        <w:t>.</w:t>
      </w:r>
      <w:r>
        <w:rPr>
          <w:rFonts w:ascii="Times New Roman" w:hAnsi="Times New Roman"/>
          <w:color w:val="auto"/>
          <w:sz w:val="24"/>
          <w:szCs w:val="24"/>
          <w:highlight w:val="none"/>
        </w:rPr>
        <w:t>报价以人民币报价。</w:t>
      </w:r>
    </w:p>
    <w:p w14:paraId="2C8FA8F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ascii="宋体" w:hAnsi="宋体"/>
          <w:color w:val="auto"/>
          <w:sz w:val="24"/>
          <w:szCs w:val="24"/>
          <w:highlight w:val="none"/>
        </w:rPr>
        <w:t>.</w:t>
      </w:r>
      <w:r>
        <w:rPr>
          <w:rFonts w:ascii="Times New Roman" w:hAnsi="Times New Roman"/>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00FF0E63">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11</w:t>
      </w:r>
      <w:r>
        <w:rPr>
          <w:rFonts w:ascii="宋体" w:hAnsi="宋体"/>
          <w:color w:val="auto"/>
          <w:sz w:val="24"/>
          <w:szCs w:val="24"/>
          <w:highlight w:val="none"/>
        </w:rPr>
        <w:t>.</w:t>
      </w:r>
      <w:r>
        <w:rPr>
          <w:rFonts w:ascii="Times New Roman" w:hAnsi="Times New Roman"/>
          <w:bCs/>
          <w:color w:val="auto"/>
          <w:sz w:val="24"/>
          <w:szCs w:val="24"/>
          <w:highlight w:val="none"/>
        </w:rPr>
        <w:t>成交供应商负</w:t>
      </w:r>
      <w:r>
        <w:rPr>
          <w:rFonts w:ascii="Times New Roman" w:hAnsi="Times New Roman"/>
          <w:color w:val="auto"/>
          <w:sz w:val="24"/>
          <w:szCs w:val="24"/>
          <w:highlight w:val="none"/>
        </w:rPr>
        <w:t>责本项目所需的售后服务等全部工作，文件另有规定的除外。</w:t>
      </w:r>
    </w:p>
    <w:p w14:paraId="325CFC3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五、响应文件的份数、封装和递交</w:t>
      </w:r>
    </w:p>
    <w:p w14:paraId="2FA6B255">
      <w:pPr>
        <w:pStyle w:val="2"/>
        <w:spacing w:line="560" w:lineRule="exact"/>
        <w:ind w:firstLine="480" w:firstLineChars="200"/>
        <w:rPr>
          <w:color w:val="auto"/>
        </w:rPr>
      </w:pPr>
      <w:r>
        <w:rPr>
          <w:rFonts w:hint="eastAsia"/>
          <w:color w:val="auto"/>
        </w:rPr>
        <w:t>12. 响应文件的递交</w:t>
      </w:r>
    </w:p>
    <w:p w14:paraId="1EA17D3D">
      <w:pPr>
        <w:pStyle w:val="2"/>
        <w:spacing w:line="560" w:lineRule="exact"/>
        <w:ind w:firstLine="480" w:firstLineChars="200"/>
        <w:rPr>
          <w:color w:val="auto"/>
        </w:rPr>
      </w:pPr>
      <w:r>
        <w:rPr>
          <w:rFonts w:hint="eastAsia"/>
          <w:color w:val="auto"/>
        </w:rPr>
        <w:t>12.1响应文件一式</w:t>
      </w:r>
      <w:r>
        <w:rPr>
          <w:rFonts w:hint="eastAsia"/>
          <w:color w:val="auto"/>
          <w:lang w:eastAsia="zh-CN"/>
        </w:rPr>
        <w:t>三</w:t>
      </w:r>
      <w:r>
        <w:rPr>
          <w:rFonts w:hint="eastAsia"/>
          <w:color w:val="auto"/>
        </w:rPr>
        <w:t>份，其中正本一份，副本</w:t>
      </w:r>
      <w:r>
        <w:rPr>
          <w:rFonts w:hint="eastAsia"/>
          <w:color w:val="auto"/>
          <w:lang w:eastAsia="zh-CN"/>
        </w:rPr>
        <w:t>二</w:t>
      </w:r>
      <w:r>
        <w:rPr>
          <w:rFonts w:hint="eastAsia"/>
          <w:color w:val="auto"/>
        </w:rPr>
        <w:t>份。</w:t>
      </w:r>
    </w:p>
    <w:p w14:paraId="1E9BA86F">
      <w:pPr>
        <w:pStyle w:val="2"/>
        <w:spacing w:line="560" w:lineRule="exact"/>
        <w:ind w:firstLine="480" w:firstLineChars="200"/>
        <w:rPr>
          <w:color w:val="auto"/>
        </w:rPr>
      </w:pPr>
      <w:r>
        <w:rPr>
          <w:rFonts w:hint="eastAsia"/>
          <w:color w:val="auto"/>
        </w:rPr>
        <w:t>12.2响应文件的信封上应写明:项目编号、项目名称、磋商内容、供应商名称。</w:t>
      </w:r>
    </w:p>
    <w:p w14:paraId="755D6DD6">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响应文件的递交</w:t>
      </w:r>
    </w:p>
    <w:p w14:paraId="73C60810">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1所有响应文件应于第一章“竞争性磋商邀请函”中规定的时间前递交到</w:t>
      </w:r>
      <w:r>
        <w:rPr>
          <w:rFonts w:hint="eastAsia" w:ascii="Times New Roman" w:hAnsi="Times New Roman"/>
          <w:bCs/>
          <w:color w:val="auto"/>
          <w:sz w:val="24"/>
          <w:szCs w:val="24"/>
        </w:rPr>
        <w:t>分散采购</w:t>
      </w:r>
      <w:r>
        <w:rPr>
          <w:rFonts w:ascii="Times New Roman" w:hAnsi="Times New Roman"/>
          <w:bCs/>
          <w:color w:val="auto"/>
          <w:sz w:val="24"/>
          <w:szCs w:val="24"/>
        </w:rPr>
        <w:t>机构。</w:t>
      </w:r>
    </w:p>
    <w:p w14:paraId="0E219087">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迟交的响应文件</w:t>
      </w:r>
    </w:p>
    <w:p w14:paraId="0F8D84B6">
      <w:pPr>
        <w:spacing w:line="560" w:lineRule="exact"/>
        <w:ind w:firstLine="480" w:firstLineChars="200"/>
        <w:rPr>
          <w:color w:val="auto"/>
          <w:highlight w:val="none"/>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1</w:t>
      </w:r>
      <w:r>
        <w:rPr>
          <w:rFonts w:hint="eastAsia" w:ascii="Times New Roman" w:hAnsi="Times New Roman"/>
          <w:bCs/>
          <w:color w:val="auto"/>
          <w:sz w:val="24"/>
          <w:szCs w:val="24"/>
        </w:rPr>
        <w:t>分散采购</w:t>
      </w:r>
      <w:r>
        <w:rPr>
          <w:rFonts w:ascii="Times New Roman" w:hAnsi="Times New Roman"/>
          <w:bCs/>
          <w:color w:val="auto"/>
          <w:sz w:val="24"/>
          <w:szCs w:val="24"/>
        </w:rPr>
        <w:t>机构将拒绝或原封退回在其规定的递交响应文件截止时间之后递交的任何响应文件。</w:t>
      </w:r>
    </w:p>
    <w:p w14:paraId="0FB55A58">
      <w:pPr>
        <w:pStyle w:val="2"/>
        <w:rPr>
          <w:color w:val="auto"/>
          <w:highlight w:val="none"/>
        </w:rPr>
      </w:pPr>
    </w:p>
    <w:p w14:paraId="304A8144">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六、磋商小组的组成</w:t>
      </w:r>
    </w:p>
    <w:p w14:paraId="48A8FAB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磋商小组成员由采购人代表一名和外聘专家两名及以上（技术、经济、法律等方面）组成，外聘专家从专家库中随机抽取。</w:t>
      </w:r>
    </w:p>
    <w:p w14:paraId="1306BFF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75946F8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七、磋商的步骤</w:t>
      </w:r>
    </w:p>
    <w:p w14:paraId="195218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ascii="宋体" w:hAnsi="宋体"/>
          <w:color w:val="auto"/>
          <w:sz w:val="24"/>
          <w:szCs w:val="24"/>
          <w:highlight w:val="none"/>
        </w:rPr>
        <w:t>.</w:t>
      </w:r>
      <w:r>
        <w:rPr>
          <w:rFonts w:ascii="Times New Roman" w:hAnsi="Times New Roman"/>
          <w:bCs/>
          <w:color w:val="auto"/>
          <w:sz w:val="24"/>
          <w:szCs w:val="24"/>
          <w:highlight w:val="none"/>
        </w:rPr>
        <w:t>供应商授权代表及其项目相关的商务技术人员按要求参加本项目磋商过程。</w:t>
      </w:r>
    </w:p>
    <w:p w14:paraId="2EF5F83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资格性审查</w:t>
      </w:r>
    </w:p>
    <w:p w14:paraId="6DF9C4D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6414182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w:t>
      </w:r>
      <w:r>
        <w:rPr>
          <w:rFonts w:ascii="Times New Roman" w:hAnsi="Times New Roman"/>
          <w:b/>
          <w:bCs w:val="0"/>
          <w:color w:val="auto"/>
          <w:sz w:val="24"/>
          <w:szCs w:val="24"/>
          <w:highlight w:val="none"/>
        </w:rPr>
        <w:t>按无效处理</w:t>
      </w:r>
      <w:r>
        <w:rPr>
          <w:rFonts w:ascii="Times New Roman" w:hAnsi="Times New Roman"/>
          <w:bCs/>
          <w:color w:val="auto"/>
          <w:sz w:val="24"/>
          <w:szCs w:val="24"/>
          <w:highlight w:val="none"/>
        </w:rPr>
        <w:t>，并告知有关供应商。具体评审内容见本章第3条。</w:t>
      </w:r>
    </w:p>
    <w:p w14:paraId="294AA8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第一轮磋商</w:t>
      </w:r>
    </w:p>
    <w:p w14:paraId="7ED98B0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1磋商小组将按照随机抽签的顺序决定供应商的磋商顺序，并与单一供应商分别进行磋商。</w:t>
      </w:r>
    </w:p>
    <w:p w14:paraId="7F3DB98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5660608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3响应文件的澄清和说明</w:t>
      </w:r>
    </w:p>
    <w:p w14:paraId="17F40FF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13689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7C7A35C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3）供应商可以对参加竞争性磋商项目的采购需求提出优化建议，并以书面提交磋商小组。</w:t>
      </w:r>
    </w:p>
    <w:p w14:paraId="0933A8F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4磋商小组按磋商文件设定的方法和标准确定供应商符合磋商文件要求的，该供应商即为合格的供应商。</w:t>
      </w:r>
    </w:p>
    <w:p w14:paraId="57F41E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5DB621E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6合格的供应商不足三家的，磋商小组、采购人在调整采购需求中的技术、服务要求以及合同草案条款后进行下一轮磋商。否则，本次磋商终止。</w:t>
      </w:r>
    </w:p>
    <w:p w14:paraId="4E4887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磋商文件修正</w:t>
      </w:r>
    </w:p>
    <w:p w14:paraId="06F3390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14:paraId="0F9E33F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2磋商小组将磋商文件的修改结果以书面形式通知参加磋商的供应商。</w:t>
      </w:r>
    </w:p>
    <w:p w14:paraId="220933B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14:paraId="4A9D975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14:paraId="17653A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第二轮磋商</w:t>
      </w:r>
    </w:p>
    <w:p w14:paraId="2392CBA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1磋商小组就修正后的磋商文件与供应商分别进行磋商。</w:t>
      </w:r>
    </w:p>
    <w:p w14:paraId="7D4ADDE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2第二轮磋商结束后，实质性响应磋商文件及变动后磋商文件要求的供应商超过或不足三家的，按照上一轮磋商程序办理，以此类推。</w:t>
      </w:r>
    </w:p>
    <w:p w14:paraId="74C19F1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最后报价</w:t>
      </w:r>
    </w:p>
    <w:p w14:paraId="73CAD3D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1磋商小组对磋商文件中能够详细列明采购标的的技术、服务要求的，在磋商结束后，所有继续参加磋商合格的供应商应在规定时间内提交最后报价。</w:t>
      </w:r>
    </w:p>
    <w:p w14:paraId="1091D2D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78EBA56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3供应商的报价均超过了政府采购预算或报价未超过采购预算的供应商不足三家的，磋商活动终止。</w:t>
      </w:r>
    </w:p>
    <w:p w14:paraId="5DDC64A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4最后报价文件应密封，并在规定的同一时间内提交。最后报价是供应商响应文件的有效组成部分。</w:t>
      </w:r>
    </w:p>
    <w:p w14:paraId="6373B1E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5在提交最后报价之前，供应商可以根据磋商情况退出磋商。</w:t>
      </w:r>
    </w:p>
    <w:p w14:paraId="68C54173">
      <w:pPr>
        <w:pStyle w:val="24"/>
        <w:ind w:firstLine="480" w:firstLineChars="200"/>
        <w:rPr>
          <w:rFonts w:hint="default" w:ascii="Times New Roman" w:hAnsi="Times New Roman" w:eastAsia="宋体" w:cs="Times New Roman"/>
          <w:bCs/>
          <w:color w:val="auto"/>
          <w:kern w:val="2"/>
          <w:sz w:val="24"/>
          <w:szCs w:val="24"/>
          <w:highlight w:val="none"/>
          <w:lang w:val="en-US" w:eastAsia="zh-CN" w:bidi="ar-SA"/>
        </w:rPr>
      </w:pPr>
      <w:r>
        <w:rPr>
          <w:rFonts w:hint="eastAsia"/>
          <w:bCs/>
          <w:color w:val="auto"/>
          <w:sz w:val="24"/>
          <w:szCs w:val="24"/>
          <w:highlight w:val="none"/>
          <w:lang w:val="en-US" w:eastAsia="zh-CN"/>
        </w:rPr>
        <w:t>21.6 磋</w:t>
      </w:r>
      <w:r>
        <w:rPr>
          <w:rFonts w:hint="eastAsia" w:ascii="Times New Roman" w:hAnsi="Times New Roman" w:eastAsia="宋体" w:cs="Times New Roman"/>
          <w:bCs/>
          <w:color w:val="auto"/>
          <w:kern w:val="2"/>
          <w:sz w:val="24"/>
          <w:szCs w:val="24"/>
          <w:highlight w:val="none"/>
          <w:lang w:val="en-US" w:eastAsia="zh-CN" w:bidi="ar-SA"/>
        </w:rPr>
        <w:t>商小组认为供应商的报价明显低于其他供应商的报价的，有可能影响工程质量或者不能诚信履约的，应当要求其在磋商合理的时间内提供书面说明，必要时提交相关证明材料；供应商不能证明其报价合理性的，磋商小组应当将其作为无效报价处理。</w:t>
      </w:r>
    </w:p>
    <w:p w14:paraId="1FDB17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综合评议</w:t>
      </w:r>
    </w:p>
    <w:p w14:paraId="572BA62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1磋商小组将按照磋商文件确定的评审办法对各供应商的响应文件进行商务服务评议和价格评议。</w:t>
      </w:r>
    </w:p>
    <w:p w14:paraId="65F9EFD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2评审采用综合评分法，具体见“第四章评审办法及评审标准”。</w:t>
      </w:r>
    </w:p>
    <w:p w14:paraId="34600F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非专门面向中小企业、监狱企业或残疾人福利性单位采购项目价格评议</w:t>
      </w:r>
    </w:p>
    <w:p w14:paraId="6458555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3347752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5A110D4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08F24E6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6F9ED63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2C4D142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04178E3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25</w:t>
      </w:r>
      <w:r>
        <w:rPr>
          <w:rFonts w:ascii="宋体" w:hAnsi="宋体"/>
          <w:color w:val="auto"/>
          <w:sz w:val="24"/>
          <w:szCs w:val="24"/>
          <w:highlight w:val="none"/>
        </w:rPr>
        <w:t>.</w:t>
      </w:r>
      <w:r>
        <w:rPr>
          <w:rFonts w:ascii="Times New Roman" w:hAnsi="Times New Roman"/>
          <w:bCs/>
          <w:color w:val="auto"/>
          <w:sz w:val="24"/>
          <w:szCs w:val="24"/>
          <w:highlight w:val="none"/>
        </w:rPr>
        <w:t>磋商小组决定响应文件的响应性只根据响应文件本身的真实无误的内容，而不依据外部的证据，但响应文件有不真实不正确的内容时除外。</w:t>
      </w:r>
    </w:p>
    <w:p w14:paraId="7F99034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八、确定成交供应商</w:t>
      </w:r>
    </w:p>
    <w:p w14:paraId="5F7A86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26</w:t>
      </w:r>
      <w:r>
        <w:rPr>
          <w:rFonts w:ascii="宋体" w:hAnsi="宋体"/>
          <w:color w:val="auto"/>
          <w:sz w:val="24"/>
          <w:szCs w:val="24"/>
          <w:highlight w:val="none"/>
        </w:rPr>
        <w:t>.</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2C9C8DA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27</w:t>
      </w:r>
      <w:r>
        <w:rPr>
          <w:rFonts w:ascii="宋体" w:hAnsi="宋体"/>
          <w:color w:val="auto"/>
          <w:sz w:val="24"/>
          <w:szCs w:val="24"/>
          <w:highlight w:val="none"/>
        </w:rPr>
        <w:t>.</w:t>
      </w:r>
      <w:r>
        <w:rPr>
          <w:rFonts w:ascii="Times New Roman" w:hAnsi="Times New Roman"/>
          <w:bCs/>
          <w:color w:val="auto"/>
          <w:sz w:val="24"/>
          <w:szCs w:val="24"/>
          <w:highlight w:val="none"/>
        </w:rPr>
        <w:t>采购人从评审报告提出的成交候选供应商中，按照排序由高到低的原则确定成交供应商。</w:t>
      </w:r>
    </w:p>
    <w:p w14:paraId="64493EE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九、成交公告和质疑</w:t>
      </w:r>
    </w:p>
    <w:p w14:paraId="42A693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28</w:t>
      </w:r>
      <w:r>
        <w:rPr>
          <w:rFonts w:ascii="宋体" w:hAnsi="宋体"/>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机构在成交供应商确定后，在财政部门指定的媒体上公告成交结果，同时向成交供应商发出成交通知书。公告期为一个工作日。</w:t>
      </w:r>
    </w:p>
    <w:p w14:paraId="7DBD7CB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29</w:t>
      </w:r>
      <w:r>
        <w:rPr>
          <w:rFonts w:ascii="宋体" w:hAnsi="宋体"/>
          <w:color w:val="auto"/>
          <w:sz w:val="24"/>
          <w:szCs w:val="24"/>
          <w:highlight w:val="none"/>
        </w:rPr>
        <w:t>.</w:t>
      </w:r>
      <w:r>
        <w:rPr>
          <w:rFonts w:ascii="Times New Roman" w:hAnsi="Times New Roman"/>
          <w:bCs/>
          <w:color w:val="auto"/>
          <w:sz w:val="24"/>
          <w:szCs w:val="24"/>
          <w:highlight w:val="none"/>
        </w:rPr>
        <w:t>相关供应商对成交结果、磋商过程有询问或质疑的，可在公告期届满之日起七个工作日内，依据政府采购相关规定，向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机构提出询问或质疑，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机构将按政府采购询问或质疑程序处理。质疑书应当包括下列主要内容：</w:t>
      </w:r>
    </w:p>
    <w:p w14:paraId="44B6A0D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1质疑人的名称、地址、电话及联系人（法人或负责人授权代表）等；</w:t>
      </w:r>
    </w:p>
    <w:p w14:paraId="4E8336C0">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2质疑人法人（负责人）签章和单位公章；</w:t>
      </w:r>
    </w:p>
    <w:p w14:paraId="5A37F932">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3具体的质疑事项及事实依据；</w:t>
      </w:r>
    </w:p>
    <w:p w14:paraId="5A5CF52B">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4明确的请求和必要的证明材料；</w:t>
      </w:r>
    </w:p>
    <w:p w14:paraId="510E22E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5以联合体形式参与磋商的，则必须联合体各方共同签署、盖章；</w:t>
      </w:r>
    </w:p>
    <w:p w14:paraId="71491271">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6提起质疑的日期。</w:t>
      </w:r>
    </w:p>
    <w:p w14:paraId="0974F6C2">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十、签订合同</w:t>
      </w:r>
    </w:p>
    <w:p w14:paraId="425778C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30</w:t>
      </w:r>
      <w:r>
        <w:rPr>
          <w:rFonts w:ascii="宋体" w:hAnsi="宋体"/>
          <w:color w:val="auto"/>
          <w:sz w:val="24"/>
          <w:szCs w:val="24"/>
          <w:highlight w:val="none"/>
        </w:rPr>
        <w:t>.</w:t>
      </w:r>
      <w:r>
        <w:rPr>
          <w:rFonts w:ascii="Times New Roman" w:hAnsi="Times New Roman"/>
          <w:bCs/>
          <w:color w:val="auto"/>
          <w:sz w:val="24"/>
          <w:szCs w:val="24"/>
          <w:highlight w:val="none"/>
        </w:rPr>
        <w:t>成交供应商在收到成交通知书后，三十日内与采购人签订供货（服务）合同。</w:t>
      </w:r>
    </w:p>
    <w:p w14:paraId="0204941F">
      <w:pPr>
        <w:spacing w:line="440" w:lineRule="exact"/>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十一、付款方式</w:t>
      </w:r>
    </w:p>
    <w:p w14:paraId="372F884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31</w:t>
      </w:r>
      <w:r>
        <w:rPr>
          <w:rFonts w:ascii="宋体" w:hAnsi="宋体"/>
          <w:color w:val="auto"/>
          <w:sz w:val="24"/>
          <w:szCs w:val="24"/>
          <w:highlight w:val="none"/>
        </w:rPr>
        <w:t>.</w:t>
      </w:r>
      <w:r>
        <w:rPr>
          <w:rFonts w:ascii="Times New Roman" w:hAnsi="Times New Roman"/>
          <w:bCs/>
          <w:color w:val="auto"/>
          <w:sz w:val="24"/>
          <w:szCs w:val="24"/>
          <w:highlight w:val="none"/>
        </w:rPr>
        <w:t>货物（服务）交付验收合格后，采购人报省财政厅办理相应金额的支付手续。</w:t>
      </w:r>
    </w:p>
    <w:p w14:paraId="17C52C1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十二、适用法律</w:t>
      </w:r>
    </w:p>
    <w:p w14:paraId="001E051D">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32</w:t>
      </w:r>
      <w:r>
        <w:rPr>
          <w:rFonts w:ascii="宋体" w:hAnsi="宋体"/>
          <w:color w:val="auto"/>
          <w:sz w:val="24"/>
          <w:szCs w:val="24"/>
          <w:highlight w:val="none"/>
        </w:rPr>
        <w:t>.</w:t>
      </w:r>
      <w:r>
        <w:rPr>
          <w:rFonts w:ascii="Times New Roman" w:hAnsi="Times New Roman"/>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6993E9D2">
      <w:pPr>
        <w:spacing w:line="520" w:lineRule="exact"/>
        <w:jc w:val="center"/>
        <w:rPr>
          <w:rFonts w:ascii="Times New Roman" w:hAnsi="Times New Roman" w:eastAsia="方正小标宋简体"/>
          <w:color w:val="auto"/>
          <w:sz w:val="40"/>
          <w:szCs w:val="40"/>
          <w:highlight w:val="none"/>
          <w:lang w:val="hr-HR" w:bidi="ar-EG"/>
        </w:rPr>
      </w:pPr>
    </w:p>
    <w:p w14:paraId="3261D501">
      <w:pPr>
        <w:spacing w:line="520" w:lineRule="exact"/>
        <w:jc w:val="center"/>
        <w:rPr>
          <w:rFonts w:ascii="Times New Roman" w:hAnsi="Times New Roman" w:eastAsia="方正小标宋简体"/>
          <w:color w:val="auto"/>
          <w:sz w:val="40"/>
          <w:szCs w:val="40"/>
          <w:highlight w:val="none"/>
          <w:lang w:val="hr-HR" w:bidi="ar-EG"/>
        </w:rPr>
      </w:pPr>
    </w:p>
    <w:p w14:paraId="576BB89C">
      <w:pPr>
        <w:spacing w:line="520" w:lineRule="exact"/>
        <w:jc w:val="center"/>
        <w:rPr>
          <w:rFonts w:ascii="Times New Roman" w:hAnsi="Times New Roman" w:eastAsia="方正小标宋简体"/>
          <w:color w:val="auto"/>
          <w:sz w:val="40"/>
          <w:szCs w:val="40"/>
          <w:highlight w:val="none"/>
          <w:lang w:val="hr-HR" w:bidi="ar-EG"/>
        </w:rPr>
      </w:pPr>
      <w:r>
        <w:rPr>
          <w:rFonts w:ascii="Times New Roman" w:hAnsi="Times New Roman" w:eastAsia="方正小标宋简体"/>
          <w:color w:val="auto"/>
          <w:sz w:val="40"/>
          <w:szCs w:val="40"/>
          <w:highlight w:val="none"/>
          <w:lang w:val="hr-HR" w:bidi="ar-EG"/>
        </w:rPr>
        <w:t>第三章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color w:val="auto"/>
          <w:sz w:val="40"/>
          <w:szCs w:val="40"/>
          <w:highlight w:val="none"/>
          <w:lang w:val="hr-HR" w:bidi="ar-EG"/>
        </w:rPr>
        <w:t>采购</w:t>
      </w:r>
      <w:r>
        <w:rPr>
          <w:rFonts w:ascii="Times New Roman" w:hAnsi="Times New Roman" w:eastAsia="方正小标宋简体"/>
          <w:color w:val="auto"/>
          <w:sz w:val="40"/>
          <w:szCs w:val="40"/>
          <w:highlight w:val="none"/>
        </w:rPr>
        <w:t>货物（服务）技术参数、规格及要求</w:t>
      </w:r>
    </w:p>
    <w:p w14:paraId="59918996">
      <w:pPr>
        <w:spacing w:line="360" w:lineRule="auto"/>
        <w:rPr>
          <w:rFonts w:ascii="宋体" w:hAnsi="宋体"/>
          <w:color w:val="auto"/>
          <w:szCs w:val="21"/>
          <w:highlight w:val="none"/>
          <w:lang w:val="zh-CN"/>
        </w:rPr>
      </w:pPr>
      <w:bookmarkStart w:id="0" w:name="_Toc338065594"/>
      <w:bookmarkStart w:id="1" w:name="_Toc339378680"/>
    </w:p>
    <w:bookmarkEnd w:id="0"/>
    <w:bookmarkEnd w:id="1"/>
    <w:p w14:paraId="193FC3C6">
      <w:pPr>
        <w:keepNext/>
        <w:keepLines/>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一、项目采购清单：</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4076"/>
        <w:gridCol w:w="2066"/>
        <w:gridCol w:w="1025"/>
        <w:gridCol w:w="993"/>
      </w:tblGrid>
      <w:tr w14:paraId="09E4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78A9E782">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序号</w:t>
            </w:r>
          </w:p>
        </w:tc>
        <w:tc>
          <w:tcPr>
            <w:tcW w:w="2196" w:type="pct"/>
            <w:vAlign w:val="center"/>
          </w:tcPr>
          <w:p w14:paraId="3875FB13">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名称</w:t>
            </w:r>
          </w:p>
        </w:tc>
        <w:tc>
          <w:tcPr>
            <w:tcW w:w="1113" w:type="pct"/>
            <w:vAlign w:val="center"/>
          </w:tcPr>
          <w:p w14:paraId="0531B262">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单位</w:t>
            </w:r>
          </w:p>
        </w:tc>
        <w:tc>
          <w:tcPr>
            <w:tcW w:w="552" w:type="pct"/>
            <w:vAlign w:val="center"/>
          </w:tcPr>
          <w:p w14:paraId="3F29BF1C">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数量</w:t>
            </w:r>
          </w:p>
        </w:tc>
        <w:tc>
          <w:tcPr>
            <w:tcW w:w="533" w:type="pct"/>
            <w:vAlign w:val="center"/>
          </w:tcPr>
          <w:p w14:paraId="3D2ED72A">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备注</w:t>
            </w:r>
          </w:p>
        </w:tc>
      </w:tr>
      <w:tr w14:paraId="6F45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317A17FD">
            <w:pPr>
              <w:spacing w:line="360" w:lineRule="auto"/>
              <w:jc w:val="center"/>
              <w:rPr>
                <w:rFonts w:hint="eastAsia" w:ascii="宋体" w:hAnsi="宋体" w:eastAsia="宋体" w:cs="宋体"/>
                <w:bCs/>
                <w:color w:val="auto"/>
                <w:sz w:val="24"/>
                <w:szCs w:val="24"/>
                <w:highlight w:val="none"/>
                <w:lang w:bidi="ar-EG"/>
              </w:rPr>
            </w:pPr>
            <w:r>
              <w:rPr>
                <w:rFonts w:hint="eastAsia" w:ascii="宋体" w:hAnsi="宋体" w:cs="宋体"/>
                <w:color w:val="000000" w:themeColor="text1"/>
                <w:sz w:val="24"/>
                <w:lang w:val="hr-HR"/>
                <w14:textFill>
                  <w14:solidFill>
                    <w14:schemeClr w14:val="tx1"/>
                  </w14:solidFill>
                </w14:textFill>
              </w:rPr>
              <w:t>包一</w:t>
            </w:r>
          </w:p>
        </w:tc>
        <w:tc>
          <w:tcPr>
            <w:tcW w:w="2196" w:type="pct"/>
            <w:vAlign w:val="center"/>
          </w:tcPr>
          <w:p w14:paraId="537CEBF1">
            <w:pPr>
              <w:spacing w:line="300" w:lineRule="exact"/>
              <w:jc w:val="center"/>
              <w:rPr>
                <w:rFonts w:hint="eastAsia" w:ascii="宋体" w:hAnsi="宋体" w:eastAsia="宋体" w:cs="宋体"/>
                <w:bCs/>
                <w:color w:val="auto"/>
                <w:sz w:val="24"/>
                <w:szCs w:val="24"/>
                <w:highlight w:val="none"/>
                <w:lang w:bidi="ar-EG"/>
              </w:rPr>
            </w:pPr>
            <w:r>
              <w:rPr>
                <w:rFonts w:hint="eastAsia" w:ascii="宋体" w:hAnsi="宋体" w:cs="宋体"/>
                <w:color w:val="000000" w:themeColor="text1"/>
                <w:sz w:val="24"/>
                <w:lang w:val="hr-HR"/>
                <w14:textFill>
                  <w14:solidFill>
                    <w14:schemeClr w14:val="tx1"/>
                  </w14:solidFill>
                </w14:textFill>
              </w:rPr>
              <w:t>特定疾病配方</w:t>
            </w:r>
            <w:r>
              <w:rPr>
                <w:rFonts w:hint="eastAsia" w:ascii="宋体" w:hAnsi="宋体" w:cs="宋体"/>
                <w:color w:val="000000" w:themeColor="text1"/>
                <w:sz w:val="24"/>
                <w:lang w:bidi="ar"/>
                <w14:textFill>
                  <w14:solidFill>
                    <w14:schemeClr w14:val="tx1"/>
                  </w14:solidFill>
                </w14:textFill>
              </w:rPr>
              <w:t>配送服务</w:t>
            </w:r>
          </w:p>
        </w:tc>
        <w:tc>
          <w:tcPr>
            <w:tcW w:w="1113" w:type="pct"/>
            <w:vAlign w:val="center"/>
          </w:tcPr>
          <w:p w14:paraId="225FBEDA">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2" w:type="pct"/>
            <w:vAlign w:val="center"/>
          </w:tcPr>
          <w:p w14:paraId="7967A5D4">
            <w:pPr>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bidi="ar-EG"/>
              </w:rPr>
              <w:t>1</w:t>
            </w:r>
          </w:p>
        </w:tc>
        <w:tc>
          <w:tcPr>
            <w:tcW w:w="533" w:type="pct"/>
            <w:vAlign w:val="center"/>
          </w:tcPr>
          <w:p w14:paraId="7BB4AD03">
            <w:pPr>
              <w:jc w:val="center"/>
              <w:rPr>
                <w:rFonts w:hint="default" w:ascii="宋体" w:hAnsi="宋体" w:eastAsia="宋体" w:cs="宋体"/>
                <w:bCs/>
                <w:color w:val="auto"/>
                <w:sz w:val="24"/>
                <w:szCs w:val="24"/>
                <w:highlight w:val="none"/>
                <w:lang w:val="en-US" w:eastAsia="zh-CN" w:bidi="ar-EG"/>
              </w:rPr>
            </w:pPr>
            <w:r>
              <w:rPr>
                <w:rFonts w:hint="eastAsia" w:ascii="宋体" w:hAnsi="宋体" w:cs="宋体"/>
                <w:bCs/>
                <w:color w:val="auto"/>
                <w:sz w:val="24"/>
                <w:szCs w:val="24"/>
                <w:highlight w:val="none"/>
                <w:lang w:val="en-US" w:eastAsia="zh-CN" w:bidi="ar-EG"/>
              </w:rPr>
              <w:t>采购内容详见附表</w:t>
            </w:r>
          </w:p>
        </w:tc>
      </w:tr>
      <w:tr w14:paraId="595B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6FCB7BBB">
            <w:pPr>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cs="宋体"/>
                <w:color w:val="000000" w:themeColor="text1"/>
                <w:sz w:val="24"/>
                <w:lang w:val="hr-HR"/>
                <w14:textFill>
                  <w14:solidFill>
                    <w14:schemeClr w14:val="tx1"/>
                  </w14:solidFill>
                </w14:textFill>
              </w:rPr>
              <w:t>包二</w:t>
            </w:r>
          </w:p>
        </w:tc>
        <w:tc>
          <w:tcPr>
            <w:tcW w:w="2196" w:type="pct"/>
            <w:vAlign w:val="center"/>
          </w:tcPr>
          <w:p w14:paraId="114C9762">
            <w:pPr>
              <w:spacing w:line="360" w:lineRule="auto"/>
              <w:jc w:val="center"/>
              <w:rPr>
                <w:rFonts w:hint="eastAsia" w:ascii="宋体" w:hAnsi="宋体" w:eastAsia="宋体" w:cs="宋体"/>
                <w:bCs/>
                <w:color w:val="auto"/>
                <w:sz w:val="24"/>
                <w:szCs w:val="24"/>
                <w:highlight w:val="none"/>
                <w:lang w:bidi="ar-EG"/>
              </w:rPr>
            </w:pPr>
            <w:r>
              <w:rPr>
                <w:rFonts w:hint="eastAsia" w:ascii="宋体" w:hAnsi="宋体" w:cs="宋体"/>
                <w:color w:val="000000" w:themeColor="text1"/>
                <w:sz w:val="24"/>
                <w:lang w:val="hr-HR"/>
                <w14:textFill>
                  <w14:solidFill>
                    <w14:schemeClr w14:val="tx1"/>
                  </w14:solidFill>
                </w14:textFill>
              </w:rPr>
              <w:t>肠内营养配制包</w:t>
            </w:r>
            <w:r>
              <w:rPr>
                <w:rFonts w:hint="eastAsia" w:ascii="宋体" w:hAnsi="宋体" w:cs="宋体"/>
                <w:color w:val="000000" w:themeColor="text1"/>
                <w:sz w:val="24"/>
                <w:lang w:bidi="ar"/>
                <w14:textFill>
                  <w14:solidFill>
                    <w14:schemeClr w14:val="tx1"/>
                  </w14:solidFill>
                </w14:textFill>
              </w:rPr>
              <w:t>配送服务</w:t>
            </w:r>
          </w:p>
        </w:tc>
        <w:tc>
          <w:tcPr>
            <w:tcW w:w="1113" w:type="pct"/>
            <w:vAlign w:val="center"/>
          </w:tcPr>
          <w:p w14:paraId="46F5E7E2">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2" w:type="pct"/>
            <w:vAlign w:val="center"/>
          </w:tcPr>
          <w:p w14:paraId="43293EB7">
            <w:pPr>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1</w:t>
            </w:r>
          </w:p>
        </w:tc>
        <w:tc>
          <w:tcPr>
            <w:tcW w:w="533" w:type="pct"/>
            <w:vAlign w:val="center"/>
          </w:tcPr>
          <w:p w14:paraId="0DAB73B6">
            <w:pPr>
              <w:jc w:val="center"/>
              <w:rPr>
                <w:rFonts w:hint="eastAsia" w:ascii="宋体" w:hAnsi="宋体" w:eastAsia="宋体" w:cs="宋体"/>
                <w:bCs/>
                <w:color w:val="auto"/>
                <w:sz w:val="24"/>
                <w:szCs w:val="24"/>
                <w:highlight w:val="none"/>
                <w:lang w:bidi="ar-EG"/>
              </w:rPr>
            </w:pPr>
            <w:r>
              <w:rPr>
                <w:rFonts w:hint="eastAsia" w:ascii="宋体" w:hAnsi="宋体" w:cs="宋体"/>
                <w:bCs/>
                <w:color w:val="auto"/>
                <w:sz w:val="24"/>
                <w:szCs w:val="24"/>
                <w:highlight w:val="none"/>
                <w:lang w:val="en-US" w:eastAsia="zh-CN" w:bidi="ar-EG"/>
              </w:rPr>
              <w:t>采购内容详见附表</w:t>
            </w:r>
          </w:p>
        </w:tc>
      </w:tr>
      <w:tr w14:paraId="0CD5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3" w:type="pct"/>
            <w:vAlign w:val="center"/>
          </w:tcPr>
          <w:p w14:paraId="484D6AC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w:t>
            </w:r>
          </w:p>
        </w:tc>
        <w:tc>
          <w:tcPr>
            <w:tcW w:w="4396" w:type="pct"/>
            <w:gridSpan w:val="4"/>
            <w:vAlign w:val="center"/>
          </w:tcPr>
          <w:p w14:paraId="4FACD00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w:t>
            </w:r>
            <w:r>
              <w:rPr>
                <w:rFonts w:hint="eastAsia" w:ascii="宋体" w:hAnsi="宋体" w:cs="宋体"/>
                <w:color w:val="auto"/>
                <w:sz w:val="24"/>
                <w:szCs w:val="24"/>
                <w:highlight w:val="none"/>
                <w:lang w:val="en-US" w:eastAsia="zh-CN"/>
              </w:rPr>
              <w:t>三个月</w:t>
            </w:r>
            <w:r>
              <w:rPr>
                <w:rFonts w:hint="eastAsia" w:ascii="宋体" w:hAnsi="宋体" w:eastAsia="宋体" w:cs="宋体"/>
                <w:color w:val="auto"/>
                <w:sz w:val="24"/>
                <w:szCs w:val="24"/>
                <w:highlight w:val="none"/>
                <w:lang w:val="en-US" w:eastAsia="zh-CN"/>
              </w:rPr>
              <w:t>，具体起止时间以合同签订为准。如果合作过程中出现成交供应商违约情况，医院可以即时中止合作。</w:t>
            </w:r>
          </w:p>
        </w:tc>
      </w:tr>
    </w:tbl>
    <w:p w14:paraId="155A28DF">
      <w:pPr>
        <w:ind w:firstLine="241" w:firstLineChars="100"/>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附表：</w:t>
      </w:r>
    </w:p>
    <w:p w14:paraId="0422B478">
      <w:pPr>
        <w:jc w:val="center"/>
        <w:rPr>
          <w:b/>
          <w:bCs/>
          <w:sz w:val="28"/>
          <w:szCs w:val="28"/>
        </w:rPr>
      </w:pPr>
      <w:r>
        <w:rPr>
          <w:rFonts w:hint="eastAsia"/>
          <w:b/>
          <w:bCs/>
          <w:sz w:val="28"/>
          <w:szCs w:val="28"/>
        </w:rPr>
        <w:t>包</w:t>
      </w:r>
      <w:r>
        <w:rPr>
          <w:rFonts w:hint="eastAsia"/>
          <w:b/>
          <w:bCs/>
          <w:sz w:val="28"/>
          <w:szCs w:val="28"/>
          <w:lang w:val="en-US" w:eastAsia="zh-CN"/>
        </w:rPr>
        <w:t>一</w:t>
      </w:r>
      <w:r>
        <w:rPr>
          <w:rFonts w:hint="eastAsia"/>
          <w:b/>
          <w:bCs/>
          <w:sz w:val="28"/>
          <w:szCs w:val="28"/>
        </w:rPr>
        <w:t>：</w:t>
      </w:r>
      <w:r>
        <w:rPr>
          <w:rFonts w:hint="eastAsia" w:ascii="宋体" w:hAnsi="宋体" w:cs="宋体"/>
          <w:b/>
          <w:bCs/>
          <w:color w:val="000000" w:themeColor="text1"/>
          <w:sz w:val="28"/>
          <w:szCs w:val="28"/>
          <w:lang w:val="hr-HR"/>
          <w14:textFill>
            <w14:solidFill>
              <w14:schemeClr w14:val="tx1"/>
            </w14:solidFill>
          </w14:textFill>
        </w:rPr>
        <w:t>特定疾病配方</w:t>
      </w:r>
      <w:r>
        <w:rPr>
          <w:rFonts w:hint="eastAsia" w:ascii="宋体" w:hAnsi="宋体" w:cs="宋体"/>
          <w:b/>
          <w:bCs/>
          <w:color w:val="000000" w:themeColor="text1"/>
          <w:sz w:val="28"/>
          <w:szCs w:val="28"/>
          <w:lang w:bidi="ar"/>
          <w14:textFill>
            <w14:solidFill>
              <w14:schemeClr w14:val="tx1"/>
            </w14:solidFill>
          </w14:textFill>
        </w:rPr>
        <w:t>配送服务</w:t>
      </w:r>
      <w:r>
        <w:rPr>
          <w:rFonts w:hint="eastAsia"/>
          <w:b/>
          <w:bCs/>
          <w:sz w:val="28"/>
          <w:szCs w:val="28"/>
        </w:rPr>
        <w:t>（</w:t>
      </w:r>
      <w:r>
        <w:rPr>
          <w:rFonts w:hint="eastAsia"/>
          <w:b/>
          <w:bCs/>
          <w:sz w:val="28"/>
          <w:szCs w:val="28"/>
          <w:lang w:val="en-US" w:eastAsia="zh-CN"/>
        </w:rPr>
        <w:t>18</w:t>
      </w:r>
      <w:r>
        <w:rPr>
          <w:rFonts w:hint="eastAsia"/>
          <w:b/>
          <w:bCs/>
          <w:sz w:val="28"/>
          <w:szCs w:val="28"/>
        </w:rPr>
        <w:t>种）</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56"/>
        <w:gridCol w:w="3854"/>
        <w:gridCol w:w="1736"/>
        <w:gridCol w:w="2136"/>
      </w:tblGrid>
      <w:tr w14:paraId="6B9B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38" w:type="pct"/>
            <w:vMerge w:val="restart"/>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3D254414">
            <w:pPr>
              <w:keepNext w:val="0"/>
              <w:keepLines w:val="0"/>
              <w:widowControl/>
              <w:suppressLineNumbers w:val="0"/>
              <w:jc w:val="center"/>
              <w:textAlignment w:val="center"/>
              <w:rPr>
                <w:rFonts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序号</w:t>
            </w:r>
          </w:p>
        </w:tc>
        <w:tc>
          <w:tcPr>
            <w:tcW w:w="2075" w:type="pct"/>
            <w:vMerge w:val="restart"/>
            <w:tcBorders>
              <w:top w:val="single" w:color="000000" w:sz="8" w:space="0"/>
              <w:left w:val="nil"/>
              <w:bottom w:val="single" w:color="000000" w:sz="8" w:space="0"/>
              <w:right w:val="single" w:color="000000" w:sz="8" w:space="0"/>
            </w:tcBorders>
            <w:shd w:val="clear" w:color="auto" w:fill="A4A4A4"/>
            <w:vAlign w:val="center"/>
          </w:tcPr>
          <w:p w14:paraId="0BE3EEC2">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品名</w:t>
            </w:r>
          </w:p>
        </w:tc>
        <w:tc>
          <w:tcPr>
            <w:tcW w:w="935" w:type="pct"/>
            <w:vMerge w:val="restart"/>
            <w:tcBorders>
              <w:top w:val="single" w:color="000000" w:sz="8" w:space="0"/>
              <w:left w:val="nil"/>
              <w:bottom w:val="single" w:color="000000" w:sz="8" w:space="0"/>
              <w:right w:val="single" w:color="000000" w:sz="8" w:space="0"/>
            </w:tcBorders>
            <w:shd w:val="clear" w:color="auto" w:fill="A4A4A4"/>
            <w:vAlign w:val="center"/>
          </w:tcPr>
          <w:p w14:paraId="08004532">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剂型</w:t>
            </w:r>
          </w:p>
        </w:tc>
        <w:tc>
          <w:tcPr>
            <w:tcW w:w="1150" w:type="pct"/>
            <w:vMerge w:val="restart"/>
            <w:tcBorders>
              <w:top w:val="single" w:color="000000" w:sz="8" w:space="0"/>
              <w:left w:val="nil"/>
              <w:bottom w:val="single" w:color="000000" w:sz="8" w:space="0"/>
              <w:right w:val="single" w:color="000000" w:sz="8" w:space="0"/>
            </w:tcBorders>
            <w:shd w:val="clear" w:color="auto" w:fill="A4A4A4"/>
            <w:vAlign w:val="center"/>
          </w:tcPr>
          <w:p w14:paraId="32933F85">
            <w:pPr>
              <w:keepNext w:val="0"/>
              <w:keepLines w:val="0"/>
              <w:widowControl/>
              <w:suppressLineNumbers w:val="0"/>
              <w:jc w:val="center"/>
              <w:textAlignment w:val="center"/>
              <w:rPr>
                <w:rFonts w:hint="eastAsia" w:ascii="黑体" w:hAnsi="宋体" w:eastAsia="黑体" w:cs="黑体"/>
                <w:b/>
                <w:bCs/>
                <w:i w:val="0"/>
                <w:iCs w:val="0"/>
                <w:color w:val="000000"/>
                <w:sz w:val="21"/>
                <w:szCs w:val="21"/>
                <w:u w:val="none"/>
              </w:rPr>
            </w:pPr>
            <w:r>
              <w:rPr>
                <w:rFonts w:hint="eastAsia" w:ascii="黑体" w:hAnsi="宋体" w:eastAsia="黑体" w:cs="黑体"/>
                <w:b/>
                <w:bCs/>
                <w:i w:val="0"/>
                <w:iCs w:val="0"/>
                <w:color w:val="000000"/>
                <w:kern w:val="0"/>
                <w:sz w:val="21"/>
                <w:szCs w:val="21"/>
                <w:u w:val="none"/>
                <w:lang w:val="en-US" w:eastAsia="zh-CN" w:bidi="ar"/>
              </w:rPr>
              <w:t>供货价     g/ml/元</w:t>
            </w:r>
          </w:p>
        </w:tc>
      </w:tr>
      <w:tr w14:paraId="521D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4A4A4"/>
            <w:noWrap/>
            <w:vAlign w:val="center"/>
          </w:tcPr>
          <w:p w14:paraId="0EB43382">
            <w:pPr>
              <w:jc w:val="center"/>
              <w:rPr>
                <w:rFonts w:hint="eastAsia" w:ascii="黑体" w:hAnsi="宋体" w:eastAsia="黑体" w:cs="黑体"/>
                <w:b/>
                <w:bCs/>
                <w:i w:val="0"/>
                <w:iCs w:val="0"/>
                <w:color w:val="000000"/>
                <w:sz w:val="21"/>
                <w:szCs w:val="21"/>
                <w:u w:val="none"/>
              </w:rPr>
            </w:pPr>
          </w:p>
        </w:tc>
        <w:tc>
          <w:tcPr>
            <w:tcW w:w="2075" w:type="pct"/>
            <w:vMerge w:val="continue"/>
            <w:tcBorders>
              <w:top w:val="single" w:color="000000" w:sz="8" w:space="0"/>
              <w:left w:val="nil"/>
              <w:bottom w:val="single" w:color="000000" w:sz="8" w:space="0"/>
              <w:right w:val="single" w:color="000000" w:sz="8" w:space="0"/>
            </w:tcBorders>
            <w:shd w:val="clear" w:color="auto" w:fill="A4A4A4"/>
            <w:vAlign w:val="center"/>
          </w:tcPr>
          <w:p w14:paraId="11CC7046">
            <w:pPr>
              <w:jc w:val="center"/>
              <w:rPr>
                <w:rFonts w:hint="eastAsia" w:ascii="黑体" w:hAnsi="宋体" w:eastAsia="黑体" w:cs="黑体"/>
                <w:b/>
                <w:bCs/>
                <w:i w:val="0"/>
                <w:iCs w:val="0"/>
                <w:color w:val="000000"/>
                <w:sz w:val="21"/>
                <w:szCs w:val="21"/>
                <w:u w:val="none"/>
              </w:rPr>
            </w:pPr>
          </w:p>
        </w:tc>
        <w:tc>
          <w:tcPr>
            <w:tcW w:w="935" w:type="pct"/>
            <w:vMerge w:val="continue"/>
            <w:tcBorders>
              <w:top w:val="single" w:color="000000" w:sz="8" w:space="0"/>
              <w:left w:val="nil"/>
              <w:bottom w:val="single" w:color="000000" w:sz="8" w:space="0"/>
              <w:right w:val="single" w:color="000000" w:sz="8" w:space="0"/>
            </w:tcBorders>
            <w:shd w:val="clear" w:color="auto" w:fill="A4A4A4"/>
            <w:vAlign w:val="center"/>
          </w:tcPr>
          <w:p w14:paraId="2E1AADBE">
            <w:pPr>
              <w:jc w:val="center"/>
              <w:rPr>
                <w:rFonts w:hint="eastAsia" w:ascii="黑体" w:hAnsi="宋体" w:eastAsia="黑体" w:cs="黑体"/>
                <w:b/>
                <w:bCs/>
                <w:i w:val="0"/>
                <w:iCs w:val="0"/>
                <w:color w:val="000000"/>
                <w:sz w:val="21"/>
                <w:szCs w:val="21"/>
                <w:u w:val="none"/>
              </w:rPr>
            </w:pPr>
          </w:p>
        </w:tc>
        <w:tc>
          <w:tcPr>
            <w:tcW w:w="1150" w:type="pct"/>
            <w:vMerge w:val="continue"/>
            <w:tcBorders>
              <w:top w:val="single" w:color="000000" w:sz="8" w:space="0"/>
              <w:left w:val="nil"/>
              <w:bottom w:val="single" w:color="000000" w:sz="8" w:space="0"/>
              <w:right w:val="single" w:color="000000" w:sz="8" w:space="0"/>
            </w:tcBorders>
            <w:shd w:val="clear" w:color="auto" w:fill="A4A4A4"/>
            <w:vAlign w:val="center"/>
          </w:tcPr>
          <w:p w14:paraId="0AE3F701">
            <w:pPr>
              <w:jc w:val="center"/>
              <w:rPr>
                <w:rFonts w:hint="eastAsia" w:ascii="黑体" w:hAnsi="宋体" w:eastAsia="黑体" w:cs="黑体"/>
                <w:b/>
                <w:bCs/>
                <w:i w:val="0"/>
                <w:iCs w:val="0"/>
                <w:color w:val="000000"/>
                <w:sz w:val="21"/>
                <w:szCs w:val="21"/>
                <w:u w:val="none"/>
              </w:rPr>
            </w:pPr>
          </w:p>
        </w:tc>
      </w:tr>
      <w:tr w14:paraId="1486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4EA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0987679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特殊医学用途配方食品碳水化合物粉</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4BD0846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013379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w:t>
            </w:r>
          </w:p>
        </w:tc>
      </w:tr>
      <w:tr w14:paraId="2834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349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5B0591C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特殊医学用途配方食品（短肽）</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6068831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0B7C4A0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≤0.82</w:t>
            </w:r>
          </w:p>
        </w:tc>
      </w:tr>
      <w:tr w14:paraId="34269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5BC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413E267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特殊医学用途蛋白质组件配方食品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3B48EE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588CE09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≤1.56</w:t>
            </w:r>
          </w:p>
        </w:tc>
      </w:tr>
      <w:tr w14:paraId="0090C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3A1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54345D5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10" cy="762000"/>
                  <wp:effectExtent l="0" t="0" r="15240" b="0"/>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9"/>
                          <a:stretch>
                            <a:fillRect/>
                          </a:stretch>
                        </pic:blipFill>
                        <pic:spPr>
                          <a:xfrm>
                            <a:off x="0" y="0"/>
                            <a:ext cx="3810" cy="76200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10" cy="752475"/>
                  <wp:effectExtent l="0" t="0" r="15240" b="9525"/>
                  <wp:wrapNone/>
                  <wp:docPr id="25" name="图片_3"/>
                  <wp:cNvGraphicFramePr/>
                  <a:graphic xmlns:a="http://schemas.openxmlformats.org/drawingml/2006/main">
                    <a:graphicData uri="http://schemas.openxmlformats.org/drawingml/2006/picture">
                      <pic:pic xmlns:pic="http://schemas.openxmlformats.org/drawingml/2006/picture">
                        <pic:nvPicPr>
                          <pic:cNvPr id="25" name="图片_3"/>
                          <pic:cNvPicPr/>
                        </pic:nvPicPr>
                        <pic:blipFill>
                          <a:blip r:embed="rId10"/>
                          <a:stretch>
                            <a:fillRect/>
                          </a:stretch>
                        </pic:blipFill>
                        <pic:spPr>
                          <a:xfrm>
                            <a:off x="0" y="0"/>
                            <a:ext cx="3810" cy="752475"/>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t>特殊医学用途全营养配方食品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08E0120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30BB7B4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≤0.65</w:t>
            </w:r>
          </w:p>
        </w:tc>
      </w:tr>
      <w:tr w14:paraId="4799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475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0783B74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422BA1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4D28183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≤1.73</w:t>
            </w:r>
          </w:p>
        </w:tc>
      </w:tr>
      <w:tr w14:paraId="1C398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A89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300D3C7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蛋白质粉特殊医学用途配方食品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4D4D566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60E33F8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w:t>
            </w:r>
          </w:p>
        </w:tc>
      </w:tr>
      <w:tr w14:paraId="217EC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C1C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0EE56C6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69CD505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0ECA087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≤2.09</w:t>
            </w:r>
          </w:p>
        </w:tc>
      </w:tr>
      <w:tr w14:paraId="4D1A7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A96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5DFCC97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4CE8A77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656E576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≤0.87</w:t>
            </w:r>
          </w:p>
        </w:tc>
      </w:tr>
      <w:tr w14:paraId="71D81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CB7F">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3108B03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28E2F3E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354DE26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≤1.19</w:t>
            </w:r>
          </w:p>
        </w:tc>
      </w:tr>
      <w:tr w14:paraId="30C5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C77E">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5FEB03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697637C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19B5AED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≤0.77</w:t>
            </w:r>
          </w:p>
        </w:tc>
      </w:tr>
      <w:tr w14:paraId="3FBD0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8BB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0981F6A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5975731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7FAB108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≤0.96</w:t>
            </w:r>
          </w:p>
        </w:tc>
      </w:tr>
      <w:tr w14:paraId="6FFA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912D">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5E348AB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365B2CE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77F21C6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w:t>
            </w:r>
          </w:p>
        </w:tc>
      </w:tr>
      <w:tr w14:paraId="478DA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2A2A">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75" w:type="pct"/>
            <w:tcBorders>
              <w:top w:val="single" w:color="000000" w:sz="4" w:space="0"/>
              <w:left w:val="nil"/>
              <w:bottom w:val="single" w:color="000000" w:sz="4" w:space="0"/>
              <w:right w:val="single" w:color="000000" w:sz="4" w:space="0"/>
            </w:tcBorders>
            <w:shd w:val="clear" w:color="auto" w:fill="auto"/>
            <w:vAlign w:val="center"/>
          </w:tcPr>
          <w:p w14:paraId="79A2793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特殊医学用途电解质配方食品</w:t>
            </w:r>
          </w:p>
        </w:tc>
        <w:tc>
          <w:tcPr>
            <w:tcW w:w="935" w:type="pct"/>
            <w:tcBorders>
              <w:top w:val="single" w:color="000000" w:sz="4" w:space="0"/>
              <w:left w:val="nil"/>
              <w:bottom w:val="single" w:color="000000" w:sz="4" w:space="0"/>
              <w:right w:val="single" w:color="000000" w:sz="4" w:space="0"/>
            </w:tcBorders>
            <w:shd w:val="clear" w:color="auto" w:fill="auto"/>
            <w:vAlign w:val="center"/>
          </w:tcPr>
          <w:p w14:paraId="2E0FFCD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1150" w:type="pct"/>
            <w:tcBorders>
              <w:top w:val="single" w:color="000000" w:sz="4" w:space="0"/>
              <w:left w:val="nil"/>
              <w:bottom w:val="single" w:color="000000" w:sz="4" w:space="0"/>
              <w:right w:val="single" w:color="000000" w:sz="4" w:space="0"/>
            </w:tcBorders>
            <w:shd w:val="clear" w:color="auto" w:fill="auto"/>
            <w:vAlign w:val="center"/>
          </w:tcPr>
          <w:p w14:paraId="560E77D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≤0.26</w:t>
            </w:r>
          </w:p>
        </w:tc>
      </w:tr>
    </w:tbl>
    <w:p w14:paraId="1A4D3ED0">
      <w:pPr>
        <w:pStyle w:val="56"/>
        <w:ind w:left="420" w:leftChars="200" w:firstLine="0" w:firstLineChars="0"/>
        <w:jc w:val="both"/>
        <w:rPr>
          <w:b/>
          <w:bCs/>
          <w:szCs w:val="28"/>
        </w:rPr>
      </w:pPr>
    </w:p>
    <w:p w14:paraId="1489E364">
      <w:pPr>
        <w:pStyle w:val="56"/>
        <w:ind w:left="420" w:leftChars="200" w:firstLine="0" w:firstLineChars="0"/>
        <w:jc w:val="both"/>
        <w:rPr>
          <w:rFonts w:hint="eastAsia"/>
          <w:b/>
          <w:bCs/>
          <w:szCs w:val="28"/>
        </w:rPr>
      </w:pPr>
    </w:p>
    <w:p w14:paraId="54143709">
      <w:pPr>
        <w:pStyle w:val="56"/>
        <w:ind w:left="0" w:leftChars="0" w:firstLine="4216" w:firstLineChars="1500"/>
        <w:jc w:val="both"/>
        <w:rPr>
          <w:rFonts w:hint="eastAsia"/>
          <w:b/>
          <w:bCs/>
          <w:szCs w:val="28"/>
        </w:rPr>
      </w:pPr>
    </w:p>
    <w:p w14:paraId="0A33BABA">
      <w:pPr>
        <w:pStyle w:val="56"/>
        <w:ind w:left="0" w:leftChars="0" w:firstLine="4216" w:firstLineChars="1500"/>
        <w:jc w:val="both"/>
        <w:rPr>
          <w:rFonts w:hint="eastAsia"/>
          <w:b/>
          <w:bCs/>
          <w:szCs w:val="28"/>
        </w:rPr>
      </w:pPr>
    </w:p>
    <w:p w14:paraId="684FCB3F">
      <w:pPr>
        <w:pStyle w:val="56"/>
        <w:ind w:left="0" w:leftChars="0" w:firstLine="4216" w:firstLineChars="1500"/>
        <w:jc w:val="both"/>
        <w:rPr>
          <w:rFonts w:hint="eastAsia"/>
          <w:b/>
          <w:bCs/>
          <w:szCs w:val="28"/>
        </w:rPr>
      </w:pPr>
    </w:p>
    <w:p w14:paraId="6F16A9E6">
      <w:pPr>
        <w:pStyle w:val="56"/>
        <w:jc w:val="both"/>
        <w:rPr>
          <w:b/>
          <w:bCs/>
          <w:szCs w:val="28"/>
        </w:rPr>
      </w:pPr>
      <w:r>
        <w:rPr>
          <w:rFonts w:hint="eastAsia"/>
          <w:b/>
          <w:bCs/>
          <w:szCs w:val="28"/>
        </w:rPr>
        <w:t>包</w:t>
      </w:r>
      <w:r>
        <w:rPr>
          <w:rFonts w:hint="eastAsia"/>
          <w:b/>
          <w:bCs/>
          <w:szCs w:val="28"/>
          <w:lang w:val="en-US" w:eastAsia="zh-CN"/>
        </w:rPr>
        <w:t>二</w:t>
      </w:r>
      <w:r>
        <w:rPr>
          <w:rFonts w:hint="eastAsia"/>
          <w:b/>
          <w:bCs/>
          <w:szCs w:val="28"/>
        </w:rPr>
        <w:t>、肠内营养配制包（</w:t>
      </w:r>
      <w:r>
        <w:rPr>
          <w:rFonts w:hint="eastAsia"/>
          <w:b/>
          <w:bCs/>
          <w:szCs w:val="28"/>
          <w:lang w:val="en-US" w:eastAsia="zh-CN"/>
        </w:rPr>
        <w:t>86</w:t>
      </w:r>
      <w:r>
        <w:rPr>
          <w:rFonts w:hint="eastAsia"/>
          <w:b/>
          <w:bCs/>
          <w:szCs w:val="28"/>
        </w:rPr>
        <w:t>种）+肠内营养配制袋（</w:t>
      </w:r>
      <w:r>
        <w:rPr>
          <w:rFonts w:hint="eastAsia"/>
          <w:b/>
          <w:bCs/>
          <w:szCs w:val="28"/>
          <w:lang w:val="en-US" w:eastAsia="zh-CN"/>
        </w:rPr>
        <w:t>5</w:t>
      </w:r>
      <w:r>
        <w:rPr>
          <w:rFonts w:hint="eastAsia"/>
          <w:b/>
          <w:bCs/>
          <w:szCs w:val="28"/>
        </w:rPr>
        <w:t>种）</w:t>
      </w:r>
    </w:p>
    <w:p w14:paraId="241A3041">
      <w:pPr>
        <w:pStyle w:val="56"/>
        <w:ind w:left="420" w:leftChars="200" w:firstLine="0" w:firstLineChars="0"/>
        <w:jc w:val="center"/>
        <w:rPr>
          <w:b/>
          <w:bCs/>
          <w:szCs w:val="28"/>
        </w:rPr>
      </w:pPr>
      <w:r>
        <w:rPr>
          <w:rFonts w:hint="eastAsia"/>
          <w:b/>
          <w:bCs/>
          <w:szCs w:val="28"/>
        </w:rPr>
        <w:t>1、肠内营养配制包（</w:t>
      </w:r>
      <w:r>
        <w:rPr>
          <w:rFonts w:hint="eastAsia"/>
          <w:b/>
          <w:bCs/>
          <w:szCs w:val="28"/>
          <w:lang w:val="en-US" w:eastAsia="zh-CN"/>
        </w:rPr>
        <w:t>86</w:t>
      </w:r>
      <w:r>
        <w:rPr>
          <w:rFonts w:hint="eastAsia"/>
          <w:b/>
          <w:bCs/>
          <w:szCs w:val="28"/>
        </w:rPr>
        <w:t>种）</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4"/>
        <w:gridCol w:w="3986"/>
        <w:gridCol w:w="1486"/>
        <w:gridCol w:w="2036"/>
      </w:tblGrid>
      <w:tr w14:paraId="4A30D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CFE">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黑体" w:hAnsi="宋体" w:eastAsia="黑体" w:cs="黑体"/>
                <w:b/>
                <w:bCs/>
                <w:i w:val="0"/>
                <w:iCs w:val="0"/>
                <w:color w:val="000000"/>
                <w:kern w:val="0"/>
                <w:sz w:val="21"/>
                <w:szCs w:val="21"/>
                <w:u w:val="none"/>
                <w:lang w:val="en-US" w:eastAsia="zh-CN" w:bidi="ar"/>
              </w:rPr>
              <w:t>序号</w:t>
            </w:r>
          </w:p>
        </w:tc>
        <w:tc>
          <w:tcPr>
            <w:tcW w:w="3986" w:type="dxa"/>
            <w:tcBorders>
              <w:top w:val="single" w:color="000000" w:sz="8" w:space="0"/>
              <w:left w:val="nil"/>
              <w:bottom w:val="single" w:color="000000" w:sz="8" w:space="0"/>
              <w:right w:val="single" w:color="000000" w:sz="8" w:space="0"/>
            </w:tcBorders>
            <w:shd w:val="clear" w:color="auto" w:fill="auto"/>
            <w:vAlign w:val="center"/>
          </w:tcPr>
          <w:p w14:paraId="6A9353CD">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黑体" w:hAnsi="宋体" w:eastAsia="黑体" w:cs="黑体"/>
                <w:b/>
                <w:bCs/>
                <w:i w:val="0"/>
                <w:iCs w:val="0"/>
                <w:color w:val="000000"/>
                <w:kern w:val="0"/>
                <w:sz w:val="21"/>
                <w:szCs w:val="21"/>
                <w:u w:val="none"/>
                <w:lang w:val="en-US" w:eastAsia="zh-CN" w:bidi="ar"/>
              </w:rPr>
              <w:t>品名</w:t>
            </w:r>
          </w:p>
        </w:tc>
        <w:tc>
          <w:tcPr>
            <w:tcW w:w="1486" w:type="dxa"/>
            <w:tcBorders>
              <w:top w:val="single" w:color="000000" w:sz="8" w:space="0"/>
              <w:left w:val="nil"/>
              <w:bottom w:val="single" w:color="000000" w:sz="8" w:space="0"/>
              <w:right w:val="single" w:color="000000" w:sz="8" w:space="0"/>
            </w:tcBorders>
            <w:shd w:val="clear" w:color="auto" w:fill="auto"/>
            <w:vAlign w:val="center"/>
          </w:tcPr>
          <w:p w14:paraId="2674F48A">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黑体" w:hAnsi="宋体" w:eastAsia="黑体" w:cs="黑体"/>
                <w:b/>
                <w:bCs/>
                <w:i w:val="0"/>
                <w:iCs w:val="0"/>
                <w:color w:val="000000"/>
                <w:kern w:val="0"/>
                <w:sz w:val="21"/>
                <w:szCs w:val="21"/>
                <w:u w:val="none"/>
                <w:lang w:val="en-US" w:eastAsia="zh-CN" w:bidi="ar"/>
              </w:rPr>
              <w:t>剂型</w:t>
            </w:r>
          </w:p>
        </w:tc>
        <w:tc>
          <w:tcPr>
            <w:tcW w:w="2036" w:type="dxa"/>
            <w:tcBorders>
              <w:top w:val="single" w:color="000000" w:sz="8" w:space="0"/>
              <w:left w:val="nil"/>
              <w:bottom w:val="single" w:color="000000" w:sz="8" w:space="0"/>
              <w:right w:val="single" w:color="000000" w:sz="8" w:space="0"/>
            </w:tcBorders>
            <w:shd w:val="clear" w:color="auto" w:fill="auto"/>
            <w:vAlign w:val="center"/>
          </w:tcPr>
          <w:p w14:paraId="1FA3347B">
            <w:pPr>
              <w:keepNext w:val="0"/>
              <w:keepLines w:val="0"/>
              <w:widowControl/>
              <w:suppressLineNumbers w:val="0"/>
              <w:jc w:val="center"/>
              <w:textAlignment w:val="center"/>
              <w:rPr>
                <w:rFonts w:hint="eastAsia" w:ascii="宋体" w:hAnsi="宋体" w:eastAsia="宋体" w:cs="宋体"/>
                <w:color w:val="auto"/>
                <w:sz w:val="24"/>
                <w:szCs w:val="24"/>
                <w:highlight w:val="none"/>
                <w:lang w:val="en-US" w:eastAsia="zh-CN"/>
              </w:rPr>
            </w:pPr>
            <w:r>
              <w:rPr>
                <w:rFonts w:hint="eastAsia" w:ascii="黑体" w:hAnsi="宋体" w:eastAsia="黑体" w:cs="黑体"/>
                <w:b/>
                <w:bCs/>
                <w:i w:val="0"/>
                <w:iCs w:val="0"/>
                <w:color w:val="000000"/>
                <w:kern w:val="0"/>
                <w:sz w:val="21"/>
                <w:szCs w:val="21"/>
                <w:u w:val="none"/>
                <w:lang w:val="en-US" w:eastAsia="zh-CN" w:bidi="ar"/>
              </w:rPr>
              <w:t>供货价     g/ml/元</w:t>
            </w:r>
          </w:p>
        </w:tc>
      </w:tr>
      <w:tr w14:paraId="45011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9282" w:type="dxa"/>
            <w:gridSpan w:val="4"/>
            <w:tcBorders>
              <w:top w:val="single" w:color="000000" w:sz="4" w:space="0"/>
              <w:left w:val="single" w:color="000000" w:sz="4" w:space="0"/>
              <w:bottom w:val="single" w:color="000000" w:sz="4" w:space="0"/>
              <w:right w:val="single" w:color="000000" w:sz="8" w:space="0"/>
            </w:tcBorders>
            <w:shd w:val="clear" w:color="auto" w:fill="auto"/>
            <w:noWrap/>
            <w:vAlign w:val="center"/>
          </w:tcPr>
          <w:p w14:paraId="461A9782">
            <w:pPr>
              <w:pStyle w:val="56"/>
              <w:ind w:left="420" w:leftChars="200" w:firstLine="0" w:firstLineChars="0"/>
              <w:jc w:val="center"/>
              <w:rPr>
                <w:rFonts w:hint="eastAsia" w:ascii="黑体" w:hAnsi="宋体" w:eastAsia="黑体" w:cs="黑体"/>
                <w:b/>
                <w:bCs/>
                <w:i w:val="0"/>
                <w:iCs w:val="0"/>
                <w:color w:val="000000"/>
                <w:kern w:val="0"/>
                <w:sz w:val="21"/>
                <w:szCs w:val="21"/>
                <w:u w:val="none"/>
                <w:lang w:val="en-US" w:eastAsia="zh-CN" w:bidi="ar"/>
              </w:rPr>
            </w:pPr>
            <w:r>
              <w:rPr>
                <w:rFonts w:hint="eastAsia"/>
                <w:b/>
                <w:bCs/>
                <w:szCs w:val="28"/>
              </w:rPr>
              <w:t>1、肠内营养配制包（</w:t>
            </w:r>
            <w:r>
              <w:rPr>
                <w:rFonts w:hint="eastAsia"/>
                <w:b/>
                <w:bCs/>
                <w:szCs w:val="28"/>
                <w:lang w:val="en-US" w:eastAsia="zh-CN"/>
              </w:rPr>
              <w:t>86</w:t>
            </w:r>
            <w:r>
              <w:rPr>
                <w:rFonts w:hint="eastAsia"/>
                <w:b/>
                <w:bCs/>
                <w:szCs w:val="28"/>
              </w:rPr>
              <w:t>种）</w:t>
            </w:r>
          </w:p>
        </w:tc>
      </w:tr>
      <w:tr w14:paraId="1C804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9B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986" w:type="dxa"/>
            <w:tcBorders>
              <w:top w:val="single" w:color="000000" w:sz="8" w:space="0"/>
              <w:left w:val="nil"/>
              <w:bottom w:val="single" w:color="000000" w:sz="8" w:space="0"/>
              <w:right w:val="single" w:color="000000" w:sz="8" w:space="0"/>
            </w:tcBorders>
            <w:shd w:val="clear" w:color="auto" w:fill="auto"/>
            <w:vAlign w:val="center"/>
          </w:tcPr>
          <w:p w14:paraId="4D5DAD5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乳清蛋白复合营养液</w:t>
            </w:r>
          </w:p>
        </w:tc>
        <w:tc>
          <w:tcPr>
            <w:tcW w:w="1486" w:type="dxa"/>
            <w:tcBorders>
              <w:top w:val="single" w:color="000000" w:sz="8" w:space="0"/>
              <w:left w:val="nil"/>
              <w:bottom w:val="single" w:color="000000" w:sz="8" w:space="0"/>
              <w:right w:val="single" w:color="000000" w:sz="8" w:space="0"/>
            </w:tcBorders>
            <w:shd w:val="clear" w:color="auto" w:fill="auto"/>
            <w:vAlign w:val="center"/>
          </w:tcPr>
          <w:p w14:paraId="0E51AAE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8" w:space="0"/>
              <w:left w:val="nil"/>
              <w:bottom w:val="single" w:color="000000" w:sz="8" w:space="0"/>
              <w:right w:val="single" w:color="000000" w:sz="8" w:space="0"/>
            </w:tcBorders>
            <w:shd w:val="clear" w:color="auto" w:fill="auto"/>
            <w:vAlign w:val="center"/>
          </w:tcPr>
          <w:p w14:paraId="3B7A1DF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≤0.43</w:t>
            </w:r>
          </w:p>
        </w:tc>
      </w:tr>
      <w:tr w14:paraId="52C00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4C0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0E8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短肽型复合营养液</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03C1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25C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≤0.69</w:t>
            </w:r>
          </w:p>
        </w:tc>
      </w:tr>
      <w:tr w14:paraId="7654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1C0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EE1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鱼油复合营养液</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8CDF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116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≤0.69</w:t>
            </w:r>
          </w:p>
        </w:tc>
      </w:tr>
      <w:tr w14:paraId="6ACC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909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7E7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水解蛋白液</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A85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68E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≤1.92</w:t>
            </w:r>
          </w:p>
        </w:tc>
      </w:tr>
      <w:tr w14:paraId="7633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394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3A8BD">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 cy="514350"/>
                  <wp:effectExtent l="0" t="0" r="15240" b="0"/>
                  <wp:wrapNone/>
                  <wp:docPr id="20" name="图片_2"/>
                  <wp:cNvGraphicFramePr/>
                  <a:graphic xmlns:a="http://schemas.openxmlformats.org/drawingml/2006/main">
                    <a:graphicData uri="http://schemas.openxmlformats.org/drawingml/2006/picture">
                      <pic:pic xmlns:pic="http://schemas.openxmlformats.org/drawingml/2006/picture">
                        <pic:nvPicPr>
                          <pic:cNvPr id="20" name="图片_2"/>
                          <pic:cNvPicPr/>
                        </pic:nvPicPr>
                        <pic:blipFill>
                          <a:blip r:embed="rId11"/>
                          <a:stretch>
                            <a:fillRect/>
                          </a:stretch>
                        </pic:blipFill>
                        <pic:spPr>
                          <a:xfrm>
                            <a:off x="0" y="0"/>
                            <a:ext cx="3810" cy="51435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810" cy="514350"/>
                  <wp:effectExtent l="0" t="0" r="15240" b="0"/>
                  <wp:wrapNone/>
                  <wp:docPr id="21" name="图片_4"/>
                  <wp:cNvGraphicFramePr/>
                  <a:graphic xmlns:a="http://schemas.openxmlformats.org/drawingml/2006/main">
                    <a:graphicData uri="http://schemas.openxmlformats.org/drawingml/2006/picture">
                      <pic:pic xmlns:pic="http://schemas.openxmlformats.org/drawingml/2006/picture">
                        <pic:nvPicPr>
                          <pic:cNvPr id="21" name="图片_4"/>
                          <pic:cNvPicPr/>
                        </pic:nvPicPr>
                        <pic:blipFill>
                          <a:blip r:embed="rId11"/>
                          <a:stretch>
                            <a:fillRect/>
                          </a:stretch>
                        </pic:blipFill>
                        <pic:spPr>
                          <a:xfrm>
                            <a:off x="0" y="0"/>
                            <a:ext cx="3810" cy="51435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t>低酯果胶营养液</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153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D3D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r>
      <w:tr w14:paraId="2763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033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299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蛋白棒冷加工糕点</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125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营养棒</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713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≤0.92</w:t>
            </w:r>
          </w:p>
        </w:tc>
      </w:tr>
      <w:tr w14:paraId="5A4C5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A41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6E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蛋白棒冷加工糕点（原味）</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B6D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营养棒</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126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≤0.92</w:t>
            </w:r>
          </w:p>
        </w:tc>
      </w:tr>
      <w:tr w14:paraId="4E54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EAD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5D6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蛋白固体饮料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699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17D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≤0.85</w:t>
            </w:r>
          </w:p>
        </w:tc>
      </w:tr>
      <w:tr w14:paraId="4AB7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CD5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117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膳食纤维粉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F2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DB5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≤0.87</w:t>
            </w:r>
          </w:p>
        </w:tc>
      </w:tr>
      <w:tr w14:paraId="4399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3BA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5DA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能量阻断剂固体饮品</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4E1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D84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≤0.88</w:t>
            </w:r>
          </w:p>
        </w:tc>
      </w:tr>
      <w:tr w14:paraId="222C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A7B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F6D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低GI高纤饼干</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128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饼干</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BC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≤0.21</w:t>
            </w:r>
          </w:p>
        </w:tc>
      </w:tr>
      <w:tr w14:paraId="3551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C7D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481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多种维矿片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6771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咀嚼片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840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≤0.95</w:t>
            </w:r>
          </w:p>
        </w:tc>
      </w:tr>
      <w:tr w14:paraId="5DE4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FA2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E1E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活性益生菌复合粉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DA5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FEA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≤2.84</w:t>
            </w:r>
          </w:p>
        </w:tc>
      </w:tr>
      <w:tr w14:paraId="5363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A8C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168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DHA藻油亚麻籽油凝胶糖果</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346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胶囊</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873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≤6.62</w:t>
            </w:r>
          </w:p>
        </w:tc>
      </w:tr>
      <w:tr w14:paraId="15138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CF3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6AE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铁锌多种维生素片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E39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片剂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8A5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w:t>
            </w:r>
          </w:p>
        </w:tc>
      </w:tr>
      <w:tr w14:paraId="3BBF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5C7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767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叶酸复合营养素片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958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片剂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9CF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≤19.86</w:t>
            </w:r>
          </w:p>
        </w:tc>
      </w:tr>
      <w:tr w14:paraId="03254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9CCE">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E11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钙维生素D维生素K咀嚼片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68E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片剂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75D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≤2.46</w:t>
            </w:r>
          </w:p>
        </w:tc>
      </w:tr>
      <w:tr w14:paraId="4DE52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028D">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FB1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柠檬酸泡腾片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47D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片剂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A75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≤1.39</w:t>
            </w:r>
          </w:p>
        </w:tc>
      </w:tr>
      <w:tr w14:paraId="346F7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159F">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289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水解蛋白液</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AEC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E53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w:t>
            </w:r>
          </w:p>
        </w:tc>
      </w:tr>
      <w:tr w14:paraId="4BDA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C3D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2FE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维生素D软胶囊</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EBF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胶囊</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EF7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≤8.5</w:t>
            </w:r>
          </w:p>
        </w:tc>
      </w:tr>
      <w:tr w14:paraId="0AAD8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8C5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DD1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葡萄糖粉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D88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60F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≤0.61</w:t>
            </w:r>
          </w:p>
        </w:tc>
      </w:tr>
      <w:tr w14:paraId="099B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3634">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3C9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血红蛋白肽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DC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口服液</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14D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≤1.24</w:t>
            </w:r>
          </w:p>
        </w:tc>
      </w:tr>
      <w:tr w14:paraId="798B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13E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DFE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白蛋白肽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A97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口服液</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04A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≤1.65</w:t>
            </w:r>
          </w:p>
        </w:tc>
      </w:tr>
      <w:tr w14:paraId="2687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84F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F91E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骨胶元蛋白肽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489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口服液</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22D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≤1.24</w:t>
            </w:r>
          </w:p>
        </w:tc>
      </w:tr>
      <w:tr w14:paraId="1908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272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470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血红蛋白肽</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713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6AB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≤24.70</w:t>
            </w:r>
          </w:p>
        </w:tc>
      </w:tr>
      <w:tr w14:paraId="57B58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3A6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ED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分离乳清蛋白固体饮料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EF28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D22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≤1.39</w:t>
            </w:r>
          </w:p>
        </w:tc>
      </w:tr>
      <w:tr w14:paraId="0AFD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632F">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812E">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菊粉固体饮料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EEA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FE2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≤0.89</w:t>
            </w:r>
          </w:p>
        </w:tc>
      </w:tr>
      <w:tr w14:paraId="5EA07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164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FEF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γ-氨基丁酸复合固体饮料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D8E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E95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≤5.76</w:t>
            </w:r>
          </w:p>
        </w:tc>
      </w:tr>
      <w:tr w14:paraId="7243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D1B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D1E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茯苓固体饮料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DD3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37D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≤0.81</w:t>
            </w:r>
          </w:p>
        </w:tc>
      </w:tr>
      <w:tr w14:paraId="3BD76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2A0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598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代餐营养粉固体饮料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D60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FCC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r>
      <w:tr w14:paraId="7E41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28B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2195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欧米伽3鱼油食用油脂</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B57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胶囊</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EEBB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≤1.67</w:t>
            </w:r>
          </w:p>
        </w:tc>
      </w:tr>
      <w:tr w14:paraId="25AA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F4FD">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B72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葡萄糖饮品</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706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179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≤0.14</w:t>
            </w:r>
          </w:p>
        </w:tc>
      </w:tr>
      <w:tr w14:paraId="4005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290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AA2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营养粉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901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193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≤0.52</w:t>
            </w:r>
          </w:p>
        </w:tc>
      </w:tr>
      <w:tr w14:paraId="720A4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6F4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72F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液体膳食纤维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9CA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E7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≤0.69</w:t>
            </w:r>
          </w:p>
        </w:tc>
      </w:tr>
      <w:tr w14:paraId="7F941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7FB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0B7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果胶+益生元组件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90A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9BB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≤1.96</w:t>
            </w:r>
          </w:p>
        </w:tc>
      </w:tr>
      <w:tr w14:paraId="62E1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D58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9E0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营养配方粉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A23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9CA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w:t>
            </w:r>
          </w:p>
        </w:tc>
      </w:tr>
      <w:tr w14:paraId="5EB7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776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3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795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分离乳清蛋白粉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F6B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2D7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≤1.10</w:t>
            </w:r>
          </w:p>
        </w:tc>
      </w:tr>
      <w:tr w14:paraId="5959A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6AC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C48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益生菌多肽蛋白营养粉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11F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4C9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w:t>
            </w:r>
          </w:p>
        </w:tc>
      </w:tr>
      <w:tr w14:paraId="02B0E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BA1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F80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麦芽糊精果糖固体饮料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168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575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≤1.17</w:t>
            </w:r>
          </w:p>
        </w:tc>
      </w:tr>
      <w:tr w14:paraId="0C4E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C93D">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B74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菊粉固体饮料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4B9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215D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≤0.9</w:t>
            </w:r>
          </w:p>
        </w:tc>
      </w:tr>
      <w:tr w14:paraId="1DB45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D58F">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040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益生菌粉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B2C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B19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≤2.23</w:t>
            </w:r>
          </w:p>
        </w:tc>
      </w:tr>
      <w:tr w14:paraId="1D5F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713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716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电解质粉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94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92F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≤0.42</w:t>
            </w:r>
          </w:p>
        </w:tc>
      </w:tr>
      <w:tr w14:paraId="04C2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5F1E">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47F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匀浆膳固体饮料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225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442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≤0.08</w:t>
            </w:r>
          </w:p>
        </w:tc>
      </w:tr>
      <w:tr w14:paraId="49EC5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5315">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44</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A2A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中链甘油三酯固体饮料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0A4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AFC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≤1.28</w:t>
            </w:r>
          </w:p>
        </w:tc>
      </w:tr>
      <w:tr w14:paraId="45B6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D86D">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B3C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支链氨基酸粉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E9E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DC2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≤2.09</w:t>
            </w:r>
          </w:p>
        </w:tc>
      </w:tr>
      <w:tr w14:paraId="3F22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526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46</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99E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分离乳清蛋白组件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7EA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ABB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≤1.40</w:t>
            </w:r>
          </w:p>
        </w:tc>
      </w:tr>
      <w:tr w14:paraId="00CDA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7081">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47</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4AD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水解乳清蛋白固体饮料</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89D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F3B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w:t>
            </w:r>
          </w:p>
        </w:tc>
      </w:tr>
      <w:tr w14:paraId="6A68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2F8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48</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D9D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强化营养素代餐粉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012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27E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≤0.63</w:t>
            </w:r>
          </w:p>
        </w:tc>
      </w:tr>
      <w:tr w14:paraId="4AC91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3F07">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8F5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心肌肽组件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6C0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901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w:t>
            </w:r>
          </w:p>
        </w:tc>
      </w:tr>
      <w:tr w14:paraId="4AA5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227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CDE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分离乳清蛋白粉（特殊膳食）</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178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AA0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≤1.40</w:t>
            </w:r>
          </w:p>
        </w:tc>
      </w:tr>
      <w:tr w14:paraId="5834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CCA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623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强化营养素代餐粉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B4B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A118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≤0.63</w:t>
            </w:r>
          </w:p>
        </w:tc>
      </w:tr>
      <w:tr w14:paraId="48578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F406">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F8D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心肌肽</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D7D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D1B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≤3.85</w:t>
            </w:r>
          </w:p>
        </w:tc>
      </w:tr>
      <w:tr w14:paraId="6DDF0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5240">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B74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胸腺白蛋白肽葡聚糖特殊膳食</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D3E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C07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≤11.54</w:t>
            </w:r>
          </w:p>
        </w:tc>
      </w:tr>
      <w:tr w14:paraId="487E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002D">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54</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AA2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胶原蛋白肽</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3D1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液体</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8EC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≤1.49</w:t>
            </w:r>
          </w:p>
        </w:tc>
      </w:tr>
      <w:tr w14:paraId="5827C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B339">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55</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7F1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特殊医学用途全营养配方粉</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A42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EE9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452F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D78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56</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B74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特殊医学用途早产/低出生体重婴儿配方食品</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886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粉剂</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039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≤0.56</w:t>
            </w:r>
          </w:p>
        </w:tc>
      </w:tr>
      <w:tr w14:paraId="2909F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928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6792">
            <w:pPr>
              <w:jc w:val="center"/>
              <w:rPr>
                <w:rFonts w:hint="eastAsia" w:ascii="宋体" w:hAnsi="宋体" w:eastAsia="宋体" w:cs="宋体"/>
                <w:color w:val="auto"/>
                <w:sz w:val="24"/>
                <w:szCs w:val="24"/>
                <w:highlight w:val="none"/>
                <w:lang w:val="en-US" w:eastAsia="zh-CN"/>
              </w:rPr>
            </w:pPr>
            <w:r>
              <w:rPr>
                <w:rFonts w:hint="eastAsia"/>
                <w:b/>
                <w:bCs/>
                <w:sz w:val="28"/>
                <w:szCs w:val="28"/>
              </w:rPr>
              <w:t>2、肠内营养配制袋（</w:t>
            </w:r>
            <w:r>
              <w:rPr>
                <w:rFonts w:hint="eastAsia"/>
                <w:b/>
                <w:bCs/>
                <w:sz w:val="28"/>
                <w:szCs w:val="28"/>
                <w:lang w:val="en-US" w:eastAsia="zh-CN"/>
              </w:rPr>
              <w:t>5</w:t>
            </w:r>
            <w:r>
              <w:rPr>
                <w:rFonts w:hint="eastAsia"/>
                <w:b/>
                <w:bCs/>
                <w:sz w:val="28"/>
                <w:szCs w:val="28"/>
              </w:rPr>
              <w:t>种）</w:t>
            </w:r>
          </w:p>
        </w:tc>
      </w:tr>
      <w:tr w14:paraId="4B3C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794F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00D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品名</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6C3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规格</w:t>
            </w:r>
          </w:p>
          <w:p w14:paraId="2DE63DB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（ml/g）</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06C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单价</w:t>
            </w:r>
          </w:p>
          <w:p w14:paraId="2C60492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（个/元）</w:t>
            </w:r>
          </w:p>
        </w:tc>
      </w:tr>
      <w:tr w14:paraId="70C58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480F">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945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配制液体包装袋1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327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00D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w:t>
            </w:r>
          </w:p>
        </w:tc>
      </w:tr>
      <w:tr w14:paraId="4DFD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12A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055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配制液体包装袋2</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8E9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3A77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w:t>
            </w:r>
          </w:p>
        </w:tc>
      </w:tr>
      <w:tr w14:paraId="0775D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671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8DD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配制液体包装袋1</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BD6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500</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9DB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w:t>
            </w:r>
          </w:p>
        </w:tc>
      </w:tr>
      <w:tr w14:paraId="405B5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02D8">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FE2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配制液固体包装袋</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CFC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350</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C6A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r>
      <w:tr w14:paraId="77A55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A0B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w:t>
            </w:r>
          </w:p>
        </w:tc>
        <w:tc>
          <w:tcPr>
            <w:tcW w:w="3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447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配制固体包装袋</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17AB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w:t>
            </w:r>
          </w:p>
        </w:tc>
        <w:tc>
          <w:tcPr>
            <w:tcW w:w="2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FA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≤1.50</w:t>
            </w:r>
          </w:p>
        </w:tc>
      </w:tr>
    </w:tbl>
    <w:p w14:paraId="0A204047">
      <w:pPr>
        <w:rPr>
          <w:rFonts w:ascii="宋体" w:hAnsi="宋体" w:cs="宋体"/>
          <w:sz w:val="18"/>
          <w:szCs w:val="18"/>
        </w:rPr>
      </w:pPr>
    </w:p>
    <w:p w14:paraId="19C7850B">
      <w:pPr>
        <w:pStyle w:val="29"/>
      </w:pPr>
    </w:p>
    <w:p w14:paraId="2D3B31D6">
      <w:pPr>
        <w:pStyle w:val="4"/>
        <w:numPr>
          <w:ilvl w:val="1"/>
          <w:numId w:val="0"/>
        </w:numPr>
        <w:tabs>
          <w:tab w:val="left" w:pos="576"/>
        </w:tabs>
        <w:ind w:left="480" w:leftChars="0"/>
        <w:rPr>
          <w:color w:val="auto"/>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w:t>
      </w:r>
      <w:bookmarkStart w:id="2" w:name="_Toc156490324"/>
      <w:bookmarkStart w:id="3" w:name="_Toc163493628"/>
      <w:r>
        <w:rPr>
          <w:rFonts w:hint="eastAsia"/>
          <w:color w:val="auto"/>
        </w:rPr>
        <w:t>技术要求</w:t>
      </w:r>
      <w:bookmarkEnd w:id="2"/>
      <w:bookmarkEnd w:id="3"/>
    </w:p>
    <w:p w14:paraId="00C39141">
      <w:pPr>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说明：供应商在响应文件《技术、服务要求响应、偏离说明表》中应对以下技术、服务要求逐条进行响应描述或偏离说明。不满足★要求的，其响应文件可能将按照无效文件处理。</w:t>
      </w:r>
    </w:p>
    <w:p w14:paraId="233275A1">
      <w:pPr>
        <w:jc w:val="both"/>
        <w:rPr>
          <w:rFonts w:hint="eastAsia"/>
        </w:rPr>
      </w:pPr>
      <w:r>
        <w:rPr>
          <w:rFonts w:hint="eastAsia"/>
          <w:b/>
          <w:bCs/>
          <w:sz w:val="28"/>
          <w:szCs w:val="28"/>
        </w:rPr>
        <w:t>包</w:t>
      </w:r>
      <w:r>
        <w:rPr>
          <w:rFonts w:hint="eastAsia"/>
          <w:b/>
          <w:bCs/>
          <w:sz w:val="28"/>
          <w:szCs w:val="28"/>
          <w:lang w:val="en-US" w:eastAsia="zh-CN"/>
        </w:rPr>
        <w:t>一</w:t>
      </w:r>
      <w:r>
        <w:rPr>
          <w:rFonts w:hint="eastAsia"/>
          <w:b/>
          <w:bCs/>
          <w:sz w:val="28"/>
          <w:szCs w:val="28"/>
        </w:rPr>
        <w:t>：</w:t>
      </w:r>
      <w:r>
        <w:rPr>
          <w:rFonts w:hint="eastAsia" w:ascii="宋体" w:hAnsi="宋体" w:cs="宋体"/>
          <w:b/>
          <w:bCs/>
          <w:color w:val="000000" w:themeColor="text1"/>
          <w:sz w:val="28"/>
          <w:szCs w:val="28"/>
          <w:lang w:val="hr-HR"/>
          <w14:textFill>
            <w14:solidFill>
              <w14:schemeClr w14:val="tx1"/>
            </w14:solidFill>
          </w14:textFill>
        </w:rPr>
        <w:t>特定疾病配方</w:t>
      </w:r>
      <w:r>
        <w:rPr>
          <w:rFonts w:hint="eastAsia" w:ascii="宋体" w:hAnsi="宋体" w:cs="宋体"/>
          <w:b/>
          <w:bCs/>
          <w:color w:val="000000" w:themeColor="text1"/>
          <w:sz w:val="28"/>
          <w:szCs w:val="28"/>
          <w:lang w:bidi="ar"/>
          <w14:textFill>
            <w14:solidFill>
              <w14:schemeClr w14:val="tx1"/>
            </w14:solidFill>
          </w14:textFill>
        </w:rPr>
        <w:t>配送服务</w:t>
      </w:r>
      <w:r>
        <w:rPr>
          <w:rFonts w:hint="eastAsia"/>
          <w:b/>
          <w:bCs/>
          <w:sz w:val="28"/>
          <w:szCs w:val="28"/>
        </w:rPr>
        <w:t>（</w:t>
      </w:r>
      <w:r>
        <w:rPr>
          <w:rFonts w:hint="eastAsia"/>
          <w:b/>
          <w:bCs/>
          <w:sz w:val="28"/>
          <w:szCs w:val="28"/>
          <w:lang w:val="en-US" w:eastAsia="zh-CN"/>
        </w:rPr>
        <w:t>18</w:t>
      </w:r>
      <w:r>
        <w:rPr>
          <w:rFonts w:hint="eastAsia"/>
          <w:b/>
          <w:bCs/>
          <w:sz w:val="28"/>
          <w:szCs w:val="28"/>
        </w:rPr>
        <w:t>种）</w:t>
      </w:r>
    </w:p>
    <w:tbl>
      <w:tblPr>
        <w:tblStyle w:val="3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197"/>
        <w:gridCol w:w="6510"/>
        <w:gridCol w:w="978"/>
      </w:tblGrid>
      <w:tr w14:paraId="56FB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319" w:type="pct"/>
            <w:noWrap w:val="0"/>
            <w:vAlign w:val="center"/>
          </w:tcPr>
          <w:p w14:paraId="1E611B5C">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645" w:type="pct"/>
            <w:noWrap w:val="0"/>
            <w:vAlign w:val="center"/>
          </w:tcPr>
          <w:p w14:paraId="592E566A">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3508" w:type="pct"/>
            <w:noWrap w:val="0"/>
            <w:vAlign w:val="center"/>
          </w:tcPr>
          <w:p w14:paraId="16FD2CC9">
            <w:pPr>
              <w:jc w:val="center"/>
              <w:rPr>
                <w:rFonts w:hint="eastAsia" w:ascii="宋体" w:hAnsi="宋体" w:eastAsia="宋体" w:cs="宋体"/>
                <w:sz w:val="24"/>
                <w:szCs w:val="24"/>
              </w:rPr>
            </w:pPr>
            <w:r>
              <w:rPr>
                <w:rFonts w:hint="eastAsia" w:ascii="宋体" w:hAnsi="宋体" w:eastAsia="宋体" w:cs="宋体"/>
                <w:sz w:val="24"/>
                <w:szCs w:val="24"/>
              </w:rPr>
              <w:t>功能及技术参数要求</w:t>
            </w:r>
          </w:p>
        </w:tc>
        <w:tc>
          <w:tcPr>
            <w:tcW w:w="527" w:type="pct"/>
            <w:noWrap w:val="0"/>
            <w:vAlign w:val="center"/>
          </w:tcPr>
          <w:p w14:paraId="70F6927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AC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3CE341A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w:t>
            </w:r>
          </w:p>
        </w:tc>
        <w:tc>
          <w:tcPr>
            <w:tcW w:w="645" w:type="pct"/>
            <w:vMerge w:val="restart"/>
            <w:noWrap w:val="0"/>
            <w:vAlign w:val="center"/>
          </w:tcPr>
          <w:p w14:paraId="5255F93E">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特殊医学用途配方食品碳水化合物粉</w:t>
            </w:r>
          </w:p>
        </w:tc>
        <w:tc>
          <w:tcPr>
            <w:tcW w:w="3508" w:type="pct"/>
            <w:noWrap w:val="0"/>
            <w:vAlign w:val="center"/>
          </w:tcPr>
          <w:p w14:paraId="1C7D76BA">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 xml:space="preserve">适用范围：适用于10岁以上特定疾病或医学状况下需要补充碳水化合物的人群           </w:t>
            </w:r>
          </w:p>
        </w:tc>
        <w:tc>
          <w:tcPr>
            <w:tcW w:w="527" w:type="pct"/>
            <w:noWrap w:val="0"/>
            <w:vAlign w:val="center"/>
          </w:tcPr>
          <w:p w14:paraId="6B5D82C4">
            <w:pPr>
              <w:keepNext w:val="0"/>
              <w:keepLines w:val="0"/>
              <w:widowControl/>
              <w:suppressLineNumbers w:val="0"/>
              <w:jc w:val="both"/>
              <w:textAlignment w:val="center"/>
              <w:rPr>
                <w:rFonts w:hint="eastAsia" w:ascii="宋体" w:hAnsi="宋体" w:eastAsia="宋体" w:cs="宋体"/>
                <w:sz w:val="24"/>
                <w:szCs w:val="24"/>
              </w:rPr>
            </w:pPr>
          </w:p>
        </w:tc>
      </w:tr>
      <w:tr w14:paraId="47D1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6E431F3">
            <w:pPr>
              <w:keepNext w:val="0"/>
              <w:keepLines w:val="0"/>
              <w:widowControl/>
              <w:suppressLineNumbers w:val="0"/>
              <w:jc w:val="both"/>
              <w:textAlignment w:val="center"/>
            </w:pPr>
          </w:p>
        </w:tc>
        <w:tc>
          <w:tcPr>
            <w:tcW w:w="645" w:type="pct"/>
            <w:vMerge w:val="continue"/>
            <w:noWrap w:val="0"/>
            <w:vAlign w:val="center"/>
          </w:tcPr>
          <w:p w14:paraId="1E8E570B">
            <w:pPr>
              <w:keepNext w:val="0"/>
              <w:keepLines w:val="0"/>
              <w:widowControl/>
              <w:suppressLineNumbers w:val="0"/>
              <w:jc w:val="both"/>
              <w:textAlignment w:val="center"/>
            </w:pPr>
          </w:p>
        </w:tc>
        <w:tc>
          <w:tcPr>
            <w:tcW w:w="3508" w:type="pct"/>
            <w:noWrap w:val="0"/>
            <w:vAlign w:val="center"/>
          </w:tcPr>
          <w:p w14:paraId="3F271F0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每100g含能量≥1600kJ，碳水化合物≤95g，钠≥350mg</w:t>
            </w:r>
          </w:p>
        </w:tc>
        <w:tc>
          <w:tcPr>
            <w:tcW w:w="527" w:type="pct"/>
            <w:noWrap w:val="0"/>
            <w:vAlign w:val="center"/>
          </w:tcPr>
          <w:p w14:paraId="0CFC617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379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6229795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w:t>
            </w:r>
          </w:p>
        </w:tc>
        <w:tc>
          <w:tcPr>
            <w:tcW w:w="645" w:type="pct"/>
            <w:vMerge w:val="restart"/>
            <w:noWrap w:val="0"/>
            <w:vAlign w:val="center"/>
          </w:tcPr>
          <w:p w14:paraId="03A92C14">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特殊医学用途配方食品（短肽）</w:t>
            </w:r>
          </w:p>
        </w:tc>
        <w:tc>
          <w:tcPr>
            <w:tcW w:w="3508" w:type="pct"/>
            <w:noWrap w:val="0"/>
            <w:vAlign w:val="center"/>
          </w:tcPr>
          <w:p w14:paraId="147A2337">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适用范围：适合10岁以上进食受限、消化吸收障碍、代谢紊乱等需要补充营养的人群</w:t>
            </w:r>
          </w:p>
        </w:tc>
        <w:tc>
          <w:tcPr>
            <w:tcW w:w="527" w:type="pct"/>
            <w:noWrap w:val="0"/>
            <w:vAlign w:val="center"/>
          </w:tcPr>
          <w:p w14:paraId="5A1D96F4">
            <w:pPr>
              <w:keepNext w:val="0"/>
              <w:keepLines w:val="0"/>
              <w:widowControl/>
              <w:suppressLineNumbers w:val="0"/>
              <w:jc w:val="both"/>
              <w:textAlignment w:val="center"/>
              <w:rPr>
                <w:rFonts w:hint="eastAsia" w:ascii="宋体" w:hAnsi="宋体" w:eastAsia="宋体" w:cs="宋体"/>
                <w:sz w:val="24"/>
                <w:szCs w:val="24"/>
              </w:rPr>
            </w:pPr>
          </w:p>
        </w:tc>
      </w:tr>
      <w:tr w14:paraId="753B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0C1B8BE">
            <w:pPr>
              <w:keepNext w:val="0"/>
              <w:keepLines w:val="0"/>
              <w:widowControl/>
              <w:suppressLineNumbers w:val="0"/>
              <w:jc w:val="both"/>
              <w:textAlignment w:val="center"/>
            </w:pPr>
          </w:p>
        </w:tc>
        <w:tc>
          <w:tcPr>
            <w:tcW w:w="645" w:type="pct"/>
            <w:vMerge w:val="continue"/>
            <w:noWrap w:val="0"/>
            <w:vAlign w:val="center"/>
          </w:tcPr>
          <w:p w14:paraId="54C3A305">
            <w:pPr>
              <w:keepNext w:val="0"/>
              <w:keepLines w:val="0"/>
              <w:widowControl/>
              <w:suppressLineNumbers w:val="0"/>
              <w:jc w:val="both"/>
              <w:textAlignment w:val="center"/>
            </w:pPr>
          </w:p>
        </w:tc>
        <w:tc>
          <w:tcPr>
            <w:tcW w:w="3508" w:type="pct"/>
            <w:noWrap w:val="0"/>
            <w:vAlign w:val="center"/>
          </w:tcPr>
          <w:p w14:paraId="785ECF9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每100g含能量≥1700kJ  蛋白质≤16g，脂肪≥7.0g，亚油酸≤1.4g，α-亚麻酸300mg，碳水化合物≤70g，维生素A≥385µg， 维生素D≤5µg，维生素E≤10mg，维生素K1≥30µg，维生素B1≥0.5m，烟酰胺≥5.0mg，叶酸≤150µg，泛酸≥2.0mg，维生素C≥50mg，生物素≥15.0µg，钠≤500mg，钾≥850mg，铜≥250µg，镁≥100mg，铁≤6.0mg，锌≤5mg，锰≥1300µg，钙≥400mg，磷≥250mg，碘≤50µg，氯≥300mg，硒≥25µg，牛磺酸≥40mg</w:t>
            </w:r>
          </w:p>
        </w:tc>
        <w:tc>
          <w:tcPr>
            <w:tcW w:w="527" w:type="pct"/>
            <w:noWrap w:val="0"/>
            <w:vAlign w:val="center"/>
          </w:tcPr>
          <w:p w14:paraId="4D515A5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C12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6F95BCC1">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p>
        </w:tc>
        <w:tc>
          <w:tcPr>
            <w:tcW w:w="645" w:type="pct"/>
            <w:vMerge w:val="restart"/>
            <w:noWrap w:val="0"/>
            <w:vAlign w:val="center"/>
          </w:tcPr>
          <w:p w14:paraId="7985859B">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特殊医学用途蛋白质组件配方食品</w:t>
            </w:r>
          </w:p>
        </w:tc>
        <w:tc>
          <w:tcPr>
            <w:tcW w:w="3508" w:type="pct"/>
            <w:noWrap w:val="0"/>
            <w:vAlign w:val="center"/>
          </w:tcPr>
          <w:p w14:paraId="388F9D1D">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适用范围：适合10岁以上特定疾病或医学状况下需要补充蛋白质的人群</w:t>
            </w:r>
          </w:p>
        </w:tc>
        <w:tc>
          <w:tcPr>
            <w:tcW w:w="527" w:type="pct"/>
            <w:noWrap w:val="0"/>
            <w:vAlign w:val="center"/>
          </w:tcPr>
          <w:p w14:paraId="5431A745">
            <w:pPr>
              <w:keepNext w:val="0"/>
              <w:keepLines w:val="0"/>
              <w:widowControl/>
              <w:suppressLineNumbers w:val="0"/>
              <w:jc w:val="both"/>
              <w:textAlignment w:val="center"/>
              <w:rPr>
                <w:rFonts w:hint="eastAsia" w:ascii="宋体" w:hAnsi="宋体" w:eastAsia="宋体" w:cs="宋体"/>
                <w:sz w:val="24"/>
                <w:szCs w:val="24"/>
              </w:rPr>
            </w:pPr>
          </w:p>
        </w:tc>
      </w:tr>
      <w:tr w14:paraId="7E3E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0E03BCC4">
            <w:pPr>
              <w:keepNext w:val="0"/>
              <w:keepLines w:val="0"/>
              <w:widowControl/>
              <w:suppressLineNumbers w:val="0"/>
              <w:jc w:val="both"/>
              <w:textAlignment w:val="center"/>
            </w:pPr>
          </w:p>
        </w:tc>
        <w:tc>
          <w:tcPr>
            <w:tcW w:w="645" w:type="pct"/>
            <w:vMerge w:val="continue"/>
            <w:noWrap w:val="0"/>
            <w:vAlign w:val="center"/>
          </w:tcPr>
          <w:p w14:paraId="2F6A62E1">
            <w:pPr>
              <w:keepNext w:val="0"/>
              <w:keepLines w:val="0"/>
              <w:widowControl/>
              <w:suppressLineNumbers w:val="0"/>
              <w:jc w:val="both"/>
              <w:textAlignment w:val="center"/>
            </w:pPr>
          </w:p>
        </w:tc>
        <w:tc>
          <w:tcPr>
            <w:tcW w:w="3508" w:type="pct"/>
            <w:noWrap w:val="0"/>
            <w:vAlign w:val="center"/>
          </w:tcPr>
          <w:p w14:paraId="7D7CACD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每100g含能量≥1550 kJ，蛋白质≥85.0g，脂肪≤2.5g，碳水化合物≤3.5g，钠≥280mg  </w:t>
            </w:r>
          </w:p>
        </w:tc>
        <w:tc>
          <w:tcPr>
            <w:tcW w:w="527" w:type="pct"/>
            <w:noWrap w:val="0"/>
            <w:vAlign w:val="center"/>
          </w:tcPr>
          <w:p w14:paraId="1BECD1F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A9D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5F5F1C8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w:t>
            </w:r>
          </w:p>
        </w:tc>
        <w:tc>
          <w:tcPr>
            <w:tcW w:w="645" w:type="pct"/>
            <w:vMerge w:val="restart"/>
            <w:noWrap w:val="0"/>
            <w:vAlign w:val="center"/>
          </w:tcPr>
          <w:p w14:paraId="46168095">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10" cy="762000"/>
                  <wp:effectExtent l="0" t="0" r="15240" b="0"/>
                  <wp:wrapNone/>
                  <wp:docPr id="3" name="图片_1"/>
                  <wp:cNvGraphicFramePr/>
                  <a:graphic xmlns:a="http://schemas.openxmlformats.org/drawingml/2006/main">
                    <a:graphicData uri="http://schemas.openxmlformats.org/drawingml/2006/picture">
                      <pic:pic xmlns:pic="http://schemas.openxmlformats.org/drawingml/2006/picture">
                        <pic:nvPicPr>
                          <pic:cNvPr id="3" name="图片_1"/>
                          <pic:cNvPicPr/>
                        </pic:nvPicPr>
                        <pic:blipFill>
                          <a:blip r:embed="rId9"/>
                          <a:stretch>
                            <a:fillRect/>
                          </a:stretch>
                        </pic:blipFill>
                        <pic:spPr>
                          <a:xfrm>
                            <a:off x="0" y="0"/>
                            <a:ext cx="3810" cy="76200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10" cy="752475"/>
                  <wp:effectExtent l="0" t="0" r="15240" b="9525"/>
                  <wp:wrapNone/>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10"/>
                          <a:stretch>
                            <a:fillRect/>
                          </a:stretch>
                        </pic:blipFill>
                        <pic:spPr>
                          <a:xfrm>
                            <a:off x="0" y="0"/>
                            <a:ext cx="3810" cy="752475"/>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t>特殊医学用途全营养配方食品</w:t>
            </w:r>
          </w:p>
        </w:tc>
        <w:tc>
          <w:tcPr>
            <w:tcW w:w="3508" w:type="pct"/>
            <w:noWrap w:val="0"/>
            <w:vAlign w:val="center"/>
          </w:tcPr>
          <w:p w14:paraId="26DF8870">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适用范围：适合10岁以上进食受限、消化吸收障碍、代谢紊乱等需要补充营养的人群</w:t>
            </w:r>
          </w:p>
        </w:tc>
        <w:tc>
          <w:tcPr>
            <w:tcW w:w="527" w:type="pct"/>
            <w:noWrap w:val="0"/>
            <w:vAlign w:val="center"/>
          </w:tcPr>
          <w:p w14:paraId="74DBCB8B">
            <w:pPr>
              <w:keepNext w:val="0"/>
              <w:keepLines w:val="0"/>
              <w:widowControl/>
              <w:suppressLineNumbers w:val="0"/>
              <w:jc w:val="both"/>
              <w:textAlignment w:val="center"/>
              <w:rPr>
                <w:rFonts w:hint="eastAsia" w:ascii="宋体" w:hAnsi="宋体" w:eastAsia="宋体" w:cs="宋体"/>
                <w:sz w:val="24"/>
                <w:szCs w:val="24"/>
              </w:rPr>
            </w:pPr>
          </w:p>
        </w:tc>
      </w:tr>
      <w:tr w14:paraId="2A03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89A09E0">
            <w:pPr>
              <w:keepNext w:val="0"/>
              <w:keepLines w:val="0"/>
              <w:widowControl/>
              <w:suppressLineNumbers w:val="0"/>
              <w:jc w:val="both"/>
              <w:textAlignment w:val="center"/>
            </w:pPr>
          </w:p>
        </w:tc>
        <w:tc>
          <w:tcPr>
            <w:tcW w:w="645" w:type="pct"/>
            <w:vMerge w:val="continue"/>
            <w:noWrap w:val="0"/>
            <w:vAlign w:val="center"/>
          </w:tcPr>
          <w:p w14:paraId="135B4AF8">
            <w:pPr>
              <w:keepNext w:val="0"/>
              <w:keepLines w:val="0"/>
              <w:widowControl/>
              <w:suppressLineNumbers w:val="0"/>
              <w:jc w:val="both"/>
              <w:textAlignment w:val="center"/>
            </w:pPr>
          </w:p>
        </w:tc>
        <w:tc>
          <w:tcPr>
            <w:tcW w:w="3508" w:type="pct"/>
            <w:noWrap w:val="0"/>
            <w:vAlign w:val="center"/>
          </w:tcPr>
          <w:p w14:paraId="5561337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1750kJ，蛋白质≥20g，脂肪≤15g，亚油酸≥3.5g，α-亚麻酸≥600mg，碳水化合物≥50g，维生素A≤400µg，维生素D≤5µg，维生素E≤10mg，维生素K1≥20µg，维生素B1≥0.5mg，维生素B2≥0.5mg，维生素B6≥0.5mg，维生素B12≥1.2µg，烟酰胺≥5.0mg，叶酸≥1230µg，泛酸≥2.0mg，维生素C≤65mg，生物素≤18.0µg，钠≤480mg，钾≥600mg，铜≥250µg，镁≥100mg，铁≤6.5mg，锌≤5mg，锰≤1500µg，钙≥380mg，磷≥250mg，碘≥35µg，氯≥300mg，硒≥25µg，膳食纤维≤5g</w:t>
            </w:r>
          </w:p>
        </w:tc>
        <w:tc>
          <w:tcPr>
            <w:tcW w:w="527" w:type="pct"/>
            <w:noWrap w:val="0"/>
            <w:vAlign w:val="center"/>
          </w:tcPr>
          <w:p w14:paraId="7F90971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B35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24D46B44">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w:t>
            </w:r>
          </w:p>
        </w:tc>
        <w:tc>
          <w:tcPr>
            <w:tcW w:w="645" w:type="pct"/>
            <w:vMerge w:val="restart"/>
            <w:noWrap w:val="0"/>
            <w:vAlign w:val="center"/>
          </w:tcPr>
          <w:p w14:paraId="50DF0ECC">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特殊医学用途配方食品</w:t>
            </w:r>
          </w:p>
        </w:tc>
        <w:tc>
          <w:tcPr>
            <w:tcW w:w="3508" w:type="pct"/>
            <w:noWrap w:val="0"/>
            <w:vAlign w:val="center"/>
          </w:tcPr>
          <w:p w14:paraId="1123B14C">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适用范围：10岁以上术前需要补充碳水化合物和电解质的人群。</w:t>
            </w:r>
          </w:p>
        </w:tc>
        <w:tc>
          <w:tcPr>
            <w:tcW w:w="527" w:type="pct"/>
            <w:noWrap w:val="0"/>
            <w:vAlign w:val="center"/>
          </w:tcPr>
          <w:p w14:paraId="074FB4BA">
            <w:pPr>
              <w:keepNext w:val="0"/>
              <w:keepLines w:val="0"/>
              <w:widowControl/>
              <w:suppressLineNumbers w:val="0"/>
              <w:jc w:val="both"/>
              <w:textAlignment w:val="center"/>
              <w:rPr>
                <w:rFonts w:hint="eastAsia" w:ascii="宋体" w:hAnsi="宋体" w:eastAsia="宋体" w:cs="宋体"/>
                <w:sz w:val="24"/>
                <w:szCs w:val="24"/>
              </w:rPr>
            </w:pPr>
          </w:p>
        </w:tc>
      </w:tr>
      <w:tr w14:paraId="3E44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070F0605">
            <w:pPr>
              <w:keepNext w:val="0"/>
              <w:keepLines w:val="0"/>
              <w:widowControl/>
              <w:suppressLineNumbers w:val="0"/>
              <w:jc w:val="both"/>
              <w:textAlignment w:val="center"/>
            </w:pPr>
          </w:p>
        </w:tc>
        <w:tc>
          <w:tcPr>
            <w:tcW w:w="645" w:type="pct"/>
            <w:vMerge w:val="continue"/>
            <w:noWrap w:val="0"/>
            <w:vAlign w:val="center"/>
          </w:tcPr>
          <w:p w14:paraId="4C3F1EF9">
            <w:pPr>
              <w:keepNext w:val="0"/>
              <w:keepLines w:val="0"/>
              <w:widowControl/>
              <w:suppressLineNumbers w:val="0"/>
              <w:jc w:val="both"/>
              <w:textAlignment w:val="center"/>
            </w:pPr>
          </w:p>
        </w:tc>
        <w:tc>
          <w:tcPr>
            <w:tcW w:w="3508" w:type="pct"/>
            <w:noWrap w:val="0"/>
            <w:vAlign w:val="center"/>
          </w:tcPr>
          <w:p w14:paraId="510508E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能量：≥360Kcal，碳水化合物：≥90g/100g,钠：≥360mg/100g，钾：≥1040mg/100g,氯：≥560mg/100g</w:t>
            </w:r>
          </w:p>
        </w:tc>
        <w:tc>
          <w:tcPr>
            <w:tcW w:w="527" w:type="pct"/>
            <w:noWrap w:val="0"/>
            <w:vAlign w:val="center"/>
          </w:tcPr>
          <w:p w14:paraId="63D0DF4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EF7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03E578A8">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w:t>
            </w:r>
          </w:p>
        </w:tc>
        <w:tc>
          <w:tcPr>
            <w:tcW w:w="645" w:type="pct"/>
            <w:vMerge w:val="restart"/>
            <w:noWrap w:val="0"/>
            <w:vAlign w:val="center"/>
          </w:tcPr>
          <w:p w14:paraId="61F6D838">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蛋白质粉特殊医学用途配方食品</w:t>
            </w:r>
          </w:p>
        </w:tc>
        <w:tc>
          <w:tcPr>
            <w:tcW w:w="3508" w:type="pct"/>
            <w:noWrap w:val="0"/>
            <w:vAlign w:val="center"/>
          </w:tcPr>
          <w:p w14:paraId="71EF6DF0">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适用范围：10岁以上特定疾病或医学状况下需要补充蛋白质的人群。</w:t>
            </w:r>
          </w:p>
        </w:tc>
        <w:tc>
          <w:tcPr>
            <w:tcW w:w="527" w:type="pct"/>
            <w:noWrap w:val="0"/>
            <w:vAlign w:val="center"/>
          </w:tcPr>
          <w:p w14:paraId="5A9953B8">
            <w:pPr>
              <w:keepNext w:val="0"/>
              <w:keepLines w:val="0"/>
              <w:widowControl/>
              <w:suppressLineNumbers w:val="0"/>
              <w:jc w:val="both"/>
              <w:textAlignment w:val="center"/>
              <w:rPr>
                <w:rFonts w:hint="eastAsia" w:ascii="宋体" w:hAnsi="宋体" w:eastAsia="宋体" w:cs="宋体"/>
                <w:sz w:val="24"/>
                <w:szCs w:val="24"/>
              </w:rPr>
            </w:pPr>
          </w:p>
        </w:tc>
      </w:tr>
      <w:tr w14:paraId="7D79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0BA68781">
            <w:pPr>
              <w:keepNext w:val="0"/>
              <w:keepLines w:val="0"/>
              <w:widowControl/>
              <w:suppressLineNumbers w:val="0"/>
              <w:jc w:val="both"/>
              <w:textAlignment w:val="center"/>
            </w:pPr>
          </w:p>
        </w:tc>
        <w:tc>
          <w:tcPr>
            <w:tcW w:w="645" w:type="pct"/>
            <w:vMerge w:val="continue"/>
            <w:noWrap w:val="0"/>
            <w:vAlign w:val="center"/>
          </w:tcPr>
          <w:p w14:paraId="6AA2D3C1">
            <w:pPr>
              <w:keepNext w:val="0"/>
              <w:keepLines w:val="0"/>
              <w:widowControl/>
              <w:suppressLineNumbers w:val="0"/>
              <w:jc w:val="both"/>
              <w:textAlignment w:val="center"/>
            </w:pPr>
          </w:p>
        </w:tc>
        <w:tc>
          <w:tcPr>
            <w:tcW w:w="3508" w:type="pct"/>
            <w:noWrap w:val="0"/>
            <w:vAlign w:val="center"/>
          </w:tcPr>
          <w:p w14:paraId="77BB666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能量：≥340Kcal，蛋白质：≥85g/100g</w:t>
            </w:r>
          </w:p>
        </w:tc>
        <w:tc>
          <w:tcPr>
            <w:tcW w:w="527" w:type="pct"/>
            <w:noWrap w:val="0"/>
            <w:vAlign w:val="center"/>
          </w:tcPr>
          <w:p w14:paraId="468F42A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BA1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1D867F2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7</w:t>
            </w:r>
          </w:p>
        </w:tc>
        <w:tc>
          <w:tcPr>
            <w:tcW w:w="645" w:type="pct"/>
            <w:vMerge w:val="restart"/>
            <w:noWrap w:val="0"/>
            <w:vAlign w:val="center"/>
          </w:tcPr>
          <w:p w14:paraId="0462485E">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特殊医学用途配方食品</w:t>
            </w:r>
          </w:p>
        </w:tc>
        <w:tc>
          <w:tcPr>
            <w:tcW w:w="3508" w:type="pct"/>
            <w:noWrap w:val="0"/>
            <w:vAlign w:val="center"/>
          </w:tcPr>
          <w:p w14:paraId="283FF63A">
            <w:pPr>
              <w:keepNext w:val="0"/>
              <w:keepLines w:val="0"/>
              <w:widowControl/>
              <w:suppressLineNumbers w:val="0"/>
              <w:jc w:val="both"/>
              <w:textAlignment w:val="center"/>
              <w:rPr>
                <w:rFonts w:hint="eastAsia" w:ascii="宋体" w:hAnsi="宋体" w:eastAsia="宋体" w:cs="宋体"/>
                <w:kern w:val="10"/>
                <w:sz w:val="24"/>
                <w:szCs w:val="24"/>
              </w:rPr>
            </w:pPr>
            <w:r>
              <w:rPr>
                <w:rFonts w:hint="eastAsia" w:ascii="宋体" w:hAnsi="宋体" w:eastAsia="宋体" w:cs="宋体"/>
                <w:i w:val="0"/>
                <w:iCs w:val="0"/>
                <w:color w:val="000000"/>
                <w:kern w:val="0"/>
                <w:sz w:val="24"/>
                <w:szCs w:val="24"/>
                <w:u w:val="none"/>
                <w:lang w:val="en-US" w:eastAsia="zh-CN" w:bidi="ar"/>
              </w:rPr>
              <w:t>适用范围：适用于10岁以上进食受限、消化吸收障碍、代谢紊乱需要补充营养的人群。</w:t>
            </w:r>
          </w:p>
        </w:tc>
        <w:tc>
          <w:tcPr>
            <w:tcW w:w="527" w:type="pct"/>
            <w:noWrap w:val="0"/>
            <w:vAlign w:val="center"/>
          </w:tcPr>
          <w:p w14:paraId="54E156E9">
            <w:pPr>
              <w:keepNext w:val="0"/>
              <w:keepLines w:val="0"/>
              <w:widowControl/>
              <w:suppressLineNumbers w:val="0"/>
              <w:jc w:val="both"/>
              <w:textAlignment w:val="center"/>
              <w:rPr>
                <w:rFonts w:hint="eastAsia" w:ascii="宋体" w:hAnsi="宋体" w:eastAsia="宋体" w:cs="宋体"/>
                <w:sz w:val="24"/>
                <w:szCs w:val="24"/>
              </w:rPr>
            </w:pPr>
          </w:p>
        </w:tc>
      </w:tr>
      <w:tr w14:paraId="6E54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493A6010">
            <w:pPr>
              <w:keepNext w:val="0"/>
              <w:keepLines w:val="0"/>
              <w:widowControl/>
              <w:suppressLineNumbers w:val="0"/>
              <w:jc w:val="both"/>
              <w:textAlignment w:val="center"/>
            </w:pPr>
          </w:p>
        </w:tc>
        <w:tc>
          <w:tcPr>
            <w:tcW w:w="645" w:type="pct"/>
            <w:vMerge w:val="continue"/>
            <w:noWrap w:val="0"/>
            <w:vAlign w:val="center"/>
          </w:tcPr>
          <w:p w14:paraId="3E9D30AE">
            <w:pPr>
              <w:keepNext w:val="0"/>
              <w:keepLines w:val="0"/>
              <w:widowControl/>
              <w:suppressLineNumbers w:val="0"/>
              <w:jc w:val="both"/>
              <w:textAlignment w:val="center"/>
            </w:pPr>
          </w:p>
        </w:tc>
        <w:tc>
          <w:tcPr>
            <w:tcW w:w="3508" w:type="pct"/>
            <w:noWrap w:val="0"/>
            <w:vAlign w:val="center"/>
          </w:tcPr>
          <w:p w14:paraId="7523F0C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 100g:提供能≥1560KJ;蛋白质含量≤20g碳水化合物≥70g;</w:t>
            </w:r>
          </w:p>
        </w:tc>
        <w:tc>
          <w:tcPr>
            <w:tcW w:w="527" w:type="pct"/>
            <w:noWrap w:val="0"/>
            <w:vAlign w:val="center"/>
          </w:tcPr>
          <w:p w14:paraId="6F6BC7E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92B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3791441A">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8</w:t>
            </w:r>
          </w:p>
        </w:tc>
        <w:tc>
          <w:tcPr>
            <w:tcW w:w="645" w:type="pct"/>
            <w:vMerge w:val="restart"/>
            <w:noWrap w:val="0"/>
            <w:vAlign w:val="center"/>
          </w:tcPr>
          <w:p w14:paraId="16D31B42">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特殊医学用途配方食品</w:t>
            </w:r>
          </w:p>
        </w:tc>
        <w:tc>
          <w:tcPr>
            <w:tcW w:w="3508" w:type="pct"/>
            <w:noWrap w:val="0"/>
            <w:vAlign w:val="center"/>
          </w:tcPr>
          <w:p w14:paraId="4686D0BD">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适用范围：适用于10岁以上进食受限、消化吸收障碍、代谢紊乱需要补充营养的人群。</w:t>
            </w:r>
          </w:p>
        </w:tc>
        <w:tc>
          <w:tcPr>
            <w:tcW w:w="527" w:type="pct"/>
            <w:noWrap w:val="0"/>
            <w:vAlign w:val="center"/>
          </w:tcPr>
          <w:p w14:paraId="0D2D3579">
            <w:pPr>
              <w:keepNext w:val="0"/>
              <w:keepLines w:val="0"/>
              <w:widowControl/>
              <w:suppressLineNumbers w:val="0"/>
              <w:jc w:val="both"/>
              <w:textAlignment w:val="center"/>
              <w:rPr>
                <w:rFonts w:hint="eastAsia" w:ascii="宋体" w:hAnsi="宋体" w:eastAsia="宋体" w:cs="宋体"/>
                <w:sz w:val="24"/>
                <w:szCs w:val="24"/>
              </w:rPr>
            </w:pPr>
          </w:p>
        </w:tc>
      </w:tr>
      <w:tr w14:paraId="5269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4EA9F6A0">
            <w:pPr>
              <w:keepNext w:val="0"/>
              <w:keepLines w:val="0"/>
              <w:widowControl/>
              <w:suppressLineNumbers w:val="0"/>
              <w:jc w:val="both"/>
              <w:textAlignment w:val="center"/>
            </w:pPr>
          </w:p>
        </w:tc>
        <w:tc>
          <w:tcPr>
            <w:tcW w:w="645" w:type="pct"/>
            <w:vMerge w:val="continue"/>
            <w:noWrap w:val="0"/>
            <w:vAlign w:val="center"/>
          </w:tcPr>
          <w:p w14:paraId="1EF8CE1D">
            <w:pPr>
              <w:keepNext w:val="0"/>
              <w:keepLines w:val="0"/>
              <w:widowControl/>
              <w:suppressLineNumbers w:val="0"/>
              <w:jc w:val="both"/>
              <w:textAlignment w:val="center"/>
            </w:pPr>
          </w:p>
        </w:tc>
        <w:tc>
          <w:tcPr>
            <w:tcW w:w="3508" w:type="pct"/>
            <w:noWrap w:val="0"/>
            <w:vAlign w:val="center"/>
          </w:tcPr>
          <w:p w14:paraId="5F0B4D3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每100g蛋白质含量≥20g,脂肪含量≥10g，碳水化合≥60g</w:t>
            </w:r>
          </w:p>
        </w:tc>
        <w:tc>
          <w:tcPr>
            <w:tcW w:w="527" w:type="pct"/>
            <w:noWrap w:val="0"/>
            <w:vAlign w:val="center"/>
          </w:tcPr>
          <w:p w14:paraId="54690DE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776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7ACA637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9</w:t>
            </w:r>
          </w:p>
        </w:tc>
        <w:tc>
          <w:tcPr>
            <w:tcW w:w="645" w:type="pct"/>
            <w:vMerge w:val="restart"/>
            <w:noWrap w:val="0"/>
            <w:vAlign w:val="center"/>
          </w:tcPr>
          <w:p w14:paraId="28453F0D">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特殊医学用途配方食品</w:t>
            </w:r>
          </w:p>
        </w:tc>
        <w:tc>
          <w:tcPr>
            <w:tcW w:w="3508" w:type="pct"/>
            <w:noWrap w:val="0"/>
            <w:vAlign w:val="center"/>
          </w:tcPr>
          <w:p w14:paraId="564B883F">
            <w:pPr>
              <w:keepNext w:val="0"/>
              <w:keepLines w:val="0"/>
              <w:widowControl/>
              <w:suppressLineNumbers w:val="0"/>
              <w:jc w:val="both"/>
              <w:textAlignment w:val="center"/>
              <w:rPr>
                <w:rFonts w:hint="eastAsia" w:ascii="宋体" w:hAnsi="宋体" w:eastAsia="宋体" w:cs="宋体"/>
                <w:kern w:val="10"/>
                <w:sz w:val="24"/>
                <w:szCs w:val="24"/>
              </w:rPr>
            </w:pPr>
            <w:r>
              <w:rPr>
                <w:rFonts w:hint="eastAsia" w:ascii="宋体" w:hAnsi="宋体" w:eastAsia="宋体" w:cs="宋体"/>
                <w:i w:val="0"/>
                <w:iCs w:val="0"/>
                <w:color w:val="000000"/>
                <w:kern w:val="0"/>
                <w:sz w:val="24"/>
                <w:szCs w:val="24"/>
                <w:u w:val="none"/>
                <w:lang w:val="en-US" w:eastAsia="zh-CN" w:bidi="ar"/>
              </w:rPr>
              <w:t>适用范围：适用于1-10岁进食受限、消化吸收障碍、代谢紊乱需要补充营养的人群。</w:t>
            </w:r>
          </w:p>
        </w:tc>
        <w:tc>
          <w:tcPr>
            <w:tcW w:w="527" w:type="pct"/>
            <w:noWrap w:val="0"/>
            <w:vAlign w:val="center"/>
          </w:tcPr>
          <w:p w14:paraId="1B77078F">
            <w:pPr>
              <w:keepNext w:val="0"/>
              <w:keepLines w:val="0"/>
              <w:widowControl/>
              <w:suppressLineNumbers w:val="0"/>
              <w:jc w:val="both"/>
              <w:textAlignment w:val="center"/>
              <w:rPr>
                <w:rFonts w:hint="eastAsia" w:ascii="宋体" w:hAnsi="宋体" w:eastAsia="宋体" w:cs="宋体"/>
                <w:sz w:val="24"/>
                <w:szCs w:val="24"/>
              </w:rPr>
            </w:pPr>
          </w:p>
        </w:tc>
      </w:tr>
      <w:tr w14:paraId="57BB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808E390">
            <w:pPr>
              <w:keepNext w:val="0"/>
              <w:keepLines w:val="0"/>
              <w:widowControl/>
              <w:suppressLineNumbers w:val="0"/>
              <w:jc w:val="both"/>
              <w:textAlignment w:val="center"/>
            </w:pPr>
          </w:p>
        </w:tc>
        <w:tc>
          <w:tcPr>
            <w:tcW w:w="645" w:type="pct"/>
            <w:vMerge w:val="continue"/>
            <w:noWrap w:val="0"/>
            <w:vAlign w:val="center"/>
          </w:tcPr>
          <w:p w14:paraId="36DB45CC">
            <w:pPr>
              <w:keepNext w:val="0"/>
              <w:keepLines w:val="0"/>
              <w:widowControl/>
              <w:suppressLineNumbers w:val="0"/>
              <w:jc w:val="both"/>
              <w:textAlignment w:val="center"/>
            </w:pPr>
          </w:p>
        </w:tc>
        <w:tc>
          <w:tcPr>
            <w:tcW w:w="3508" w:type="pct"/>
            <w:noWrap w:val="0"/>
            <w:vAlign w:val="center"/>
          </w:tcPr>
          <w:p w14:paraId="789F991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每100g:提供能 ≥1920KJ;蛋白质含量≥10g;碳水化合≤60g。</w:t>
            </w:r>
          </w:p>
        </w:tc>
        <w:tc>
          <w:tcPr>
            <w:tcW w:w="527" w:type="pct"/>
            <w:noWrap w:val="0"/>
            <w:vAlign w:val="center"/>
          </w:tcPr>
          <w:p w14:paraId="20EE2CA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A25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3F12A78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10</w:t>
            </w:r>
          </w:p>
        </w:tc>
        <w:tc>
          <w:tcPr>
            <w:tcW w:w="645" w:type="pct"/>
            <w:vMerge w:val="restart"/>
            <w:noWrap w:val="0"/>
            <w:vAlign w:val="center"/>
          </w:tcPr>
          <w:p w14:paraId="7B5A1AEC">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特殊医学用途配方食品</w:t>
            </w:r>
          </w:p>
        </w:tc>
        <w:tc>
          <w:tcPr>
            <w:tcW w:w="3508" w:type="pct"/>
            <w:noWrap w:val="0"/>
            <w:vAlign w:val="center"/>
          </w:tcPr>
          <w:p w14:paraId="6E53C4D9">
            <w:pPr>
              <w:keepNext w:val="0"/>
              <w:keepLines w:val="0"/>
              <w:widowControl/>
              <w:suppressLineNumbers w:val="0"/>
              <w:jc w:val="both"/>
              <w:textAlignment w:val="center"/>
              <w:rPr>
                <w:rFonts w:hint="eastAsia" w:ascii="宋体" w:hAnsi="宋体" w:eastAsia="宋体" w:cs="宋体"/>
                <w:kern w:val="10"/>
                <w:sz w:val="24"/>
                <w:szCs w:val="24"/>
              </w:rPr>
            </w:pPr>
            <w:r>
              <w:rPr>
                <w:rFonts w:hint="eastAsia" w:ascii="宋体" w:hAnsi="宋体" w:eastAsia="宋体" w:cs="宋体"/>
                <w:i w:val="0"/>
                <w:iCs w:val="0"/>
                <w:color w:val="000000"/>
                <w:kern w:val="0"/>
                <w:sz w:val="24"/>
                <w:szCs w:val="24"/>
                <w:u w:val="none"/>
                <w:lang w:val="en-US" w:eastAsia="zh-CN" w:bidi="ar"/>
              </w:rPr>
              <w:t>适用范围：适用于50岁以上进食受限、消化吸收障碍、代谢紊乱需要补充营养的人群。</w:t>
            </w:r>
          </w:p>
        </w:tc>
        <w:tc>
          <w:tcPr>
            <w:tcW w:w="527" w:type="pct"/>
            <w:noWrap w:val="0"/>
            <w:vAlign w:val="center"/>
          </w:tcPr>
          <w:p w14:paraId="5AD532BA">
            <w:pPr>
              <w:keepNext w:val="0"/>
              <w:keepLines w:val="0"/>
              <w:widowControl/>
              <w:suppressLineNumbers w:val="0"/>
              <w:jc w:val="both"/>
              <w:textAlignment w:val="center"/>
              <w:rPr>
                <w:rFonts w:hint="eastAsia" w:ascii="宋体" w:hAnsi="宋体" w:eastAsia="宋体" w:cs="宋体"/>
                <w:kern w:val="10"/>
                <w:sz w:val="24"/>
                <w:szCs w:val="24"/>
              </w:rPr>
            </w:pPr>
          </w:p>
        </w:tc>
      </w:tr>
      <w:tr w14:paraId="14F4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56682D75">
            <w:pPr>
              <w:keepNext w:val="0"/>
              <w:keepLines w:val="0"/>
              <w:widowControl/>
              <w:suppressLineNumbers w:val="0"/>
              <w:jc w:val="both"/>
              <w:textAlignment w:val="center"/>
            </w:pPr>
          </w:p>
        </w:tc>
        <w:tc>
          <w:tcPr>
            <w:tcW w:w="645" w:type="pct"/>
            <w:vMerge w:val="continue"/>
            <w:noWrap w:val="0"/>
            <w:vAlign w:val="center"/>
          </w:tcPr>
          <w:p w14:paraId="1579622B">
            <w:pPr>
              <w:keepNext w:val="0"/>
              <w:keepLines w:val="0"/>
              <w:widowControl/>
              <w:suppressLineNumbers w:val="0"/>
              <w:jc w:val="both"/>
              <w:textAlignment w:val="center"/>
            </w:pPr>
          </w:p>
        </w:tc>
        <w:tc>
          <w:tcPr>
            <w:tcW w:w="3508" w:type="pct"/>
            <w:noWrap w:val="0"/>
            <w:vAlign w:val="center"/>
          </w:tcPr>
          <w:p w14:paraId="6E18529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每100g:提供能 ≥1790KJ;蛋白质含量≤20g;脂肪含量≥13g;碳水化合物≥50g</w:t>
            </w:r>
          </w:p>
        </w:tc>
        <w:tc>
          <w:tcPr>
            <w:tcW w:w="527" w:type="pct"/>
            <w:noWrap w:val="0"/>
            <w:vAlign w:val="center"/>
          </w:tcPr>
          <w:p w14:paraId="48FF798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BA5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45038A98">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11</w:t>
            </w:r>
          </w:p>
        </w:tc>
        <w:tc>
          <w:tcPr>
            <w:tcW w:w="645" w:type="pct"/>
            <w:vMerge w:val="restart"/>
            <w:noWrap w:val="0"/>
            <w:vAlign w:val="center"/>
          </w:tcPr>
          <w:p w14:paraId="084E9AB7">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特殊医学用途配方食品</w:t>
            </w:r>
          </w:p>
        </w:tc>
        <w:tc>
          <w:tcPr>
            <w:tcW w:w="3508" w:type="pct"/>
            <w:noWrap w:val="0"/>
            <w:vAlign w:val="center"/>
          </w:tcPr>
          <w:p w14:paraId="470D5CA1">
            <w:pPr>
              <w:keepNext w:val="0"/>
              <w:keepLines w:val="0"/>
              <w:widowControl/>
              <w:suppressLineNumbers w:val="0"/>
              <w:jc w:val="both"/>
              <w:textAlignment w:val="center"/>
              <w:rPr>
                <w:rFonts w:hint="eastAsia" w:ascii="宋体" w:hAnsi="宋体" w:eastAsia="宋体" w:cs="宋体"/>
                <w:kern w:val="10"/>
                <w:sz w:val="24"/>
                <w:szCs w:val="24"/>
              </w:rPr>
            </w:pPr>
            <w:r>
              <w:rPr>
                <w:rFonts w:hint="eastAsia" w:ascii="宋体" w:hAnsi="宋体" w:eastAsia="宋体" w:cs="宋体"/>
                <w:i w:val="0"/>
                <w:iCs w:val="0"/>
                <w:color w:val="000000"/>
                <w:kern w:val="0"/>
                <w:sz w:val="24"/>
                <w:szCs w:val="24"/>
                <w:u w:val="none"/>
                <w:lang w:val="en-US" w:eastAsia="zh-CN" w:bidi="ar"/>
              </w:rPr>
              <w:t>适用范围：适用于10岁以上进食受限、消化吸收障碍、代谢紊乱需要补充营养的人群。</w:t>
            </w:r>
          </w:p>
        </w:tc>
        <w:tc>
          <w:tcPr>
            <w:tcW w:w="527" w:type="pct"/>
            <w:noWrap w:val="0"/>
            <w:vAlign w:val="center"/>
          </w:tcPr>
          <w:p w14:paraId="7222ECF9">
            <w:pPr>
              <w:keepNext w:val="0"/>
              <w:keepLines w:val="0"/>
              <w:widowControl/>
              <w:suppressLineNumbers w:val="0"/>
              <w:jc w:val="both"/>
              <w:textAlignment w:val="center"/>
              <w:rPr>
                <w:rFonts w:hint="eastAsia" w:ascii="宋体" w:hAnsi="宋体" w:eastAsia="宋体" w:cs="宋体"/>
                <w:sz w:val="24"/>
                <w:szCs w:val="24"/>
              </w:rPr>
            </w:pPr>
          </w:p>
        </w:tc>
      </w:tr>
      <w:tr w14:paraId="16C0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4371587A">
            <w:pPr>
              <w:keepNext w:val="0"/>
              <w:keepLines w:val="0"/>
              <w:widowControl/>
              <w:suppressLineNumbers w:val="0"/>
              <w:jc w:val="both"/>
              <w:textAlignment w:val="center"/>
            </w:pPr>
          </w:p>
        </w:tc>
        <w:tc>
          <w:tcPr>
            <w:tcW w:w="645" w:type="pct"/>
            <w:vMerge w:val="continue"/>
            <w:noWrap w:val="0"/>
            <w:vAlign w:val="center"/>
          </w:tcPr>
          <w:p w14:paraId="0B3069B7">
            <w:pPr>
              <w:keepNext w:val="0"/>
              <w:keepLines w:val="0"/>
              <w:widowControl/>
              <w:suppressLineNumbers w:val="0"/>
              <w:jc w:val="both"/>
              <w:textAlignment w:val="center"/>
            </w:pPr>
          </w:p>
        </w:tc>
        <w:tc>
          <w:tcPr>
            <w:tcW w:w="3508" w:type="pct"/>
            <w:noWrap w:val="0"/>
            <w:vAlign w:val="center"/>
          </w:tcPr>
          <w:p w14:paraId="12EDB81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能量：≥420Kcal，蛋白质：≥20g/100g，脂肪：≥10g/100g，碳水化合物：≥58g/100g</w:t>
            </w:r>
          </w:p>
        </w:tc>
        <w:tc>
          <w:tcPr>
            <w:tcW w:w="527" w:type="pct"/>
            <w:noWrap w:val="0"/>
            <w:vAlign w:val="center"/>
          </w:tcPr>
          <w:p w14:paraId="0A3EB94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FD6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06D6B5CF">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12</w:t>
            </w:r>
          </w:p>
        </w:tc>
        <w:tc>
          <w:tcPr>
            <w:tcW w:w="645" w:type="pct"/>
            <w:vMerge w:val="restart"/>
            <w:noWrap w:val="0"/>
            <w:vAlign w:val="center"/>
          </w:tcPr>
          <w:p w14:paraId="0E0B4C0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特殊医学用途配方食品</w:t>
            </w:r>
          </w:p>
        </w:tc>
        <w:tc>
          <w:tcPr>
            <w:tcW w:w="3508" w:type="pct"/>
            <w:noWrap w:val="0"/>
            <w:vAlign w:val="center"/>
          </w:tcPr>
          <w:p w14:paraId="29DBFE54">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适用范围：10岁以上特定疾病或医学状况下（术前、术后恢复早期、内镜检查前）需要补充碳水化合物的人群</w:t>
            </w:r>
          </w:p>
        </w:tc>
        <w:tc>
          <w:tcPr>
            <w:tcW w:w="527" w:type="pct"/>
            <w:noWrap w:val="0"/>
            <w:vAlign w:val="center"/>
          </w:tcPr>
          <w:p w14:paraId="7394543D">
            <w:pPr>
              <w:keepNext w:val="0"/>
              <w:keepLines w:val="0"/>
              <w:widowControl/>
              <w:suppressLineNumbers w:val="0"/>
              <w:jc w:val="both"/>
              <w:textAlignment w:val="center"/>
              <w:rPr>
                <w:rFonts w:hint="eastAsia" w:ascii="宋体" w:hAnsi="宋体" w:eastAsia="宋体" w:cs="宋体"/>
                <w:b/>
                <w:sz w:val="24"/>
                <w:szCs w:val="24"/>
              </w:rPr>
            </w:pPr>
          </w:p>
        </w:tc>
      </w:tr>
      <w:tr w14:paraId="2CBF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1BAD8CA4">
            <w:pPr>
              <w:keepNext w:val="0"/>
              <w:keepLines w:val="0"/>
              <w:widowControl/>
              <w:suppressLineNumbers w:val="0"/>
              <w:jc w:val="both"/>
              <w:textAlignment w:val="center"/>
            </w:pPr>
          </w:p>
        </w:tc>
        <w:tc>
          <w:tcPr>
            <w:tcW w:w="645" w:type="pct"/>
            <w:vMerge w:val="continue"/>
            <w:noWrap w:val="0"/>
            <w:vAlign w:val="center"/>
          </w:tcPr>
          <w:p w14:paraId="4EADDBB1">
            <w:pPr>
              <w:keepNext w:val="0"/>
              <w:keepLines w:val="0"/>
              <w:widowControl/>
              <w:suppressLineNumbers w:val="0"/>
              <w:jc w:val="both"/>
              <w:textAlignment w:val="center"/>
            </w:pPr>
          </w:p>
        </w:tc>
        <w:tc>
          <w:tcPr>
            <w:tcW w:w="3508" w:type="pct"/>
            <w:shd w:val="clear" w:color="auto" w:fill="auto"/>
            <w:noWrap w:val="0"/>
            <w:vAlign w:val="center"/>
          </w:tcPr>
          <w:p w14:paraId="41DFF943">
            <w:pPr>
              <w:keepNext w:val="0"/>
              <w:keepLines w:val="0"/>
              <w:widowControl/>
              <w:suppressLineNumbers w:val="0"/>
              <w:jc w:val="both"/>
              <w:textAlignment w:val="center"/>
              <w:rPr>
                <w:rFonts w:hint="eastAsia" w:ascii="宋体" w:hAnsi="宋体" w:eastAsia="宋体" w:cs="宋体"/>
                <w:b/>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1、获得国家“特殊医学用途碳水化合物组件配方食品”批文；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2、钠含量≤3mg/100mL（以特医产品说明书营养成分表为准）；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3、适用人群为10岁以上；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4、渗透压≤230 mOsmol/kg。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5、液体；</w:t>
            </w:r>
          </w:p>
        </w:tc>
        <w:tc>
          <w:tcPr>
            <w:tcW w:w="527" w:type="pct"/>
            <w:noWrap w:val="0"/>
            <w:vAlign w:val="center"/>
          </w:tcPr>
          <w:p w14:paraId="4AC8DD6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285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16E3FB45">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13</w:t>
            </w:r>
          </w:p>
        </w:tc>
        <w:tc>
          <w:tcPr>
            <w:tcW w:w="645" w:type="pct"/>
            <w:vMerge w:val="restart"/>
            <w:noWrap w:val="0"/>
            <w:vAlign w:val="center"/>
          </w:tcPr>
          <w:p w14:paraId="14BB078F">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特殊医学用途电解质配方食品</w:t>
            </w:r>
          </w:p>
        </w:tc>
        <w:tc>
          <w:tcPr>
            <w:tcW w:w="3508" w:type="pct"/>
            <w:noWrap w:val="0"/>
            <w:vAlign w:val="center"/>
          </w:tcPr>
          <w:p w14:paraId="2E26F9F9">
            <w:pPr>
              <w:keepNext w:val="0"/>
              <w:keepLines w:val="0"/>
              <w:widowControl/>
              <w:suppressLineNumbers w:val="0"/>
              <w:jc w:val="both"/>
              <w:textAlignment w:val="center"/>
              <w:rPr>
                <w:rFonts w:hint="eastAsia" w:ascii="宋体" w:hAnsi="宋体" w:eastAsia="宋体" w:cs="宋体"/>
                <w:kern w:val="10"/>
                <w:sz w:val="24"/>
                <w:szCs w:val="24"/>
              </w:rPr>
            </w:pPr>
            <w:r>
              <w:rPr>
                <w:rFonts w:hint="eastAsia" w:ascii="宋体" w:hAnsi="宋体" w:eastAsia="宋体" w:cs="宋体"/>
                <w:i w:val="0"/>
                <w:iCs w:val="0"/>
                <w:color w:val="000000"/>
                <w:kern w:val="0"/>
                <w:sz w:val="24"/>
                <w:szCs w:val="24"/>
                <w:u w:val="none"/>
                <w:lang w:val="en-US" w:eastAsia="zh-CN" w:bidi="ar"/>
              </w:rPr>
              <w:t>适用范围：因腹泻等原因导致轻中度脱水需要补充水及电解质的1岁以上人群</w:t>
            </w:r>
          </w:p>
        </w:tc>
        <w:tc>
          <w:tcPr>
            <w:tcW w:w="527" w:type="pct"/>
            <w:noWrap w:val="0"/>
            <w:vAlign w:val="center"/>
          </w:tcPr>
          <w:p w14:paraId="7A526F29">
            <w:pPr>
              <w:keepNext w:val="0"/>
              <w:keepLines w:val="0"/>
              <w:widowControl/>
              <w:suppressLineNumbers w:val="0"/>
              <w:jc w:val="both"/>
              <w:textAlignment w:val="center"/>
              <w:rPr>
                <w:rFonts w:hint="eastAsia" w:ascii="宋体" w:hAnsi="宋体" w:eastAsia="宋体" w:cs="宋体"/>
                <w:sz w:val="24"/>
                <w:szCs w:val="24"/>
              </w:rPr>
            </w:pPr>
          </w:p>
        </w:tc>
      </w:tr>
      <w:tr w14:paraId="6113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6E297C14">
            <w:pPr>
              <w:keepNext w:val="0"/>
              <w:keepLines w:val="0"/>
              <w:widowControl/>
              <w:suppressLineNumbers w:val="0"/>
              <w:jc w:val="both"/>
              <w:textAlignment w:val="center"/>
            </w:pPr>
          </w:p>
        </w:tc>
        <w:tc>
          <w:tcPr>
            <w:tcW w:w="645" w:type="pct"/>
            <w:vMerge w:val="continue"/>
            <w:noWrap w:val="0"/>
            <w:vAlign w:val="center"/>
          </w:tcPr>
          <w:p w14:paraId="1A52F0A5">
            <w:pPr>
              <w:keepNext w:val="0"/>
              <w:keepLines w:val="0"/>
              <w:widowControl/>
              <w:suppressLineNumbers w:val="0"/>
              <w:jc w:val="both"/>
              <w:textAlignment w:val="center"/>
            </w:pPr>
          </w:p>
        </w:tc>
        <w:tc>
          <w:tcPr>
            <w:tcW w:w="3508" w:type="pct"/>
            <w:noWrap w:val="0"/>
            <w:vAlign w:val="center"/>
          </w:tcPr>
          <w:p w14:paraId="783F80F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能量（kJ）≥20、碳水化合物(g)≥1、钠(mg)≥170、钾(mg)≥70、氯(mg)≤230</w:t>
            </w:r>
          </w:p>
        </w:tc>
        <w:tc>
          <w:tcPr>
            <w:tcW w:w="527" w:type="pct"/>
            <w:noWrap w:val="0"/>
            <w:vAlign w:val="center"/>
          </w:tcPr>
          <w:p w14:paraId="4775EDA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bl>
    <w:p w14:paraId="30AB5E65">
      <w:pPr>
        <w:pStyle w:val="56"/>
        <w:jc w:val="both"/>
        <w:rPr>
          <w:rFonts w:hint="eastAsia"/>
          <w:color w:val="auto"/>
        </w:rPr>
      </w:pPr>
      <w:r>
        <w:rPr>
          <w:rFonts w:hint="eastAsia"/>
          <w:b/>
          <w:bCs/>
          <w:szCs w:val="28"/>
        </w:rPr>
        <w:t>包</w:t>
      </w:r>
      <w:r>
        <w:rPr>
          <w:rFonts w:hint="eastAsia"/>
          <w:b/>
          <w:bCs/>
          <w:szCs w:val="28"/>
          <w:lang w:val="en-US" w:eastAsia="zh-CN"/>
        </w:rPr>
        <w:t>二</w:t>
      </w:r>
      <w:r>
        <w:rPr>
          <w:rFonts w:hint="eastAsia"/>
          <w:b/>
          <w:bCs/>
          <w:szCs w:val="28"/>
        </w:rPr>
        <w:t>、肠内营养配制包（</w:t>
      </w:r>
      <w:r>
        <w:rPr>
          <w:rFonts w:hint="eastAsia"/>
          <w:b/>
          <w:bCs/>
          <w:szCs w:val="28"/>
          <w:lang w:val="en-US" w:eastAsia="zh-CN"/>
        </w:rPr>
        <w:t>86</w:t>
      </w:r>
      <w:r>
        <w:rPr>
          <w:rFonts w:hint="eastAsia"/>
          <w:b/>
          <w:bCs/>
          <w:szCs w:val="28"/>
        </w:rPr>
        <w:t>种）+肠内营养配制袋（</w:t>
      </w:r>
      <w:r>
        <w:rPr>
          <w:rFonts w:hint="eastAsia"/>
          <w:b/>
          <w:bCs/>
          <w:szCs w:val="28"/>
          <w:lang w:val="en-US" w:eastAsia="zh-CN"/>
        </w:rPr>
        <w:t>5</w:t>
      </w:r>
      <w:r>
        <w:rPr>
          <w:rFonts w:hint="eastAsia"/>
          <w:b/>
          <w:bCs/>
          <w:szCs w:val="28"/>
        </w:rPr>
        <w:t>种）</w:t>
      </w:r>
    </w:p>
    <w:tbl>
      <w:tblPr>
        <w:tblStyle w:val="3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212"/>
        <w:gridCol w:w="6498"/>
        <w:gridCol w:w="985"/>
      </w:tblGrid>
      <w:tr w14:paraId="0991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4" w:type="pct"/>
            <w:noWrap w:val="0"/>
            <w:vAlign w:val="center"/>
          </w:tcPr>
          <w:p w14:paraId="63DAC0EA">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653" w:type="pct"/>
            <w:noWrap w:val="0"/>
            <w:vAlign w:val="center"/>
          </w:tcPr>
          <w:p w14:paraId="71C42678">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3502" w:type="pct"/>
            <w:noWrap w:val="0"/>
            <w:vAlign w:val="center"/>
          </w:tcPr>
          <w:p w14:paraId="4B42A661">
            <w:pPr>
              <w:jc w:val="center"/>
              <w:rPr>
                <w:rFonts w:hint="eastAsia" w:ascii="宋体" w:hAnsi="宋体" w:eastAsia="宋体" w:cs="宋体"/>
                <w:sz w:val="24"/>
                <w:szCs w:val="24"/>
              </w:rPr>
            </w:pPr>
            <w:r>
              <w:rPr>
                <w:rFonts w:hint="eastAsia" w:ascii="宋体" w:hAnsi="宋体" w:eastAsia="宋体" w:cs="宋体"/>
                <w:sz w:val="24"/>
                <w:szCs w:val="24"/>
              </w:rPr>
              <w:t>功能及技术参数要求</w:t>
            </w:r>
          </w:p>
        </w:tc>
        <w:tc>
          <w:tcPr>
            <w:tcW w:w="529" w:type="pct"/>
            <w:noWrap w:val="0"/>
            <w:vAlign w:val="center"/>
          </w:tcPr>
          <w:p w14:paraId="2DBF89B1">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备注</w:t>
            </w:r>
          </w:p>
        </w:tc>
      </w:tr>
      <w:tr w14:paraId="1B86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4"/>
            <w:noWrap w:val="0"/>
            <w:vAlign w:val="center"/>
          </w:tcPr>
          <w:p w14:paraId="21B25419">
            <w:pPr>
              <w:jc w:val="center"/>
              <w:rPr>
                <w:rFonts w:hint="eastAsia" w:ascii="宋体" w:hAnsi="宋体" w:eastAsia="宋体" w:cs="宋体"/>
                <w:sz w:val="24"/>
                <w:szCs w:val="24"/>
              </w:rPr>
            </w:pPr>
            <w:r>
              <w:rPr>
                <w:rFonts w:hint="eastAsia" w:ascii="宋体" w:hAnsi="宋体" w:eastAsia="宋体" w:cs="宋体"/>
                <w:b/>
                <w:bCs/>
                <w:sz w:val="24"/>
                <w:szCs w:val="24"/>
              </w:rPr>
              <w:t>1、肠内营养配制包（</w:t>
            </w:r>
            <w:r>
              <w:rPr>
                <w:rFonts w:hint="eastAsia" w:ascii="宋体" w:hAnsi="宋体" w:eastAsia="宋体" w:cs="宋体"/>
                <w:b/>
                <w:bCs/>
                <w:sz w:val="24"/>
                <w:szCs w:val="24"/>
                <w:lang w:val="en-US" w:eastAsia="zh-CN"/>
              </w:rPr>
              <w:t>86</w:t>
            </w:r>
            <w:r>
              <w:rPr>
                <w:rFonts w:hint="eastAsia" w:ascii="宋体" w:hAnsi="宋体" w:eastAsia="宋体" w:cs="宋体"/>
                <w:b/>
                <w:bCs/>
                <w:sz w:val="24"/>
                <w:szCs w:val="24"/>
              </w:rPr>
              <w:t>种）</w:t>
            </w:r>
          </w:p>
        </w:tc>
      </w:tr>
      <w:tr w14:paraId="76E2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D70A85B">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w:t>
            </w:r>
          </w:p>
        </w:tc>
        <w:tc>
          <w:tcPr>
            <w:tcW w:w="653" w:type="pct"/>
            <w:vMerge w:val="restart"/>
            <w:noWrap w:val="0"/>
            <w:vAlign w:val="center"/>
          </w:tcPr>
          <w:p w14:paraId="4C20518D">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乳清蛋白复合营养液</w:t>
            </w:r>
          </w:p>
        </w:tc>
        <w:tc>
          <w:tcPr>
            <w:tcW w:w="3502" w:type="pct"/>
            <w:noWrap w:val="0"/>
            <w:vAlign w:val="center"/>
          </w:tcPr>
          <w:p w14:paraId="79E4F5CA">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适用范围：适用于需要营养补充的人群，特别是需要补充膳食纤维的人群</w:t>
            </w:r>
          </w:p>
        </w:tc>
        <w:tc>
          <w:tcPr>
            <w:tcW w:w="529" w:type="pct"/>
            <w:noWrap w:val="0"/>
            <w:vAlign w:val="center"/>
          </w:tcPr>
          <w:p w14:paraId="5129BA39">
            <w:pPr>
              <w:keepNext w:val="0"/>
              <w:keepLines w:val="0"/>
              <w:widowControl/>
              <w:suppressLineNumbers w:val="0"/>
              <w:jc w:val="both"/>
              <w:textAlignment w:val="center"/>
              <w:rPr>
                <w:rFonts w:hint="eastAsia" w:ascii="宋体" w:hAnsi="宋体" w:eastAsia="宋体" w:cs="宋体"/>
                <w:sz w:val="24"/>
                <w:szCs w:val="24"/>
              </w:rPr>
            </w:pPr>
          </w:p>
        </w:tc>
      </w:tr>
      <w:tr w14:paraId="7FF85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47498C00">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79BE0227">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7BC5B87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≥410kJ、 蛋白质 ≥4g、脂肪 ≥2g、碳水化合物 ≥13g、膳食纤维≥ 1g、钠 ≥80mg、维生素A ≥30μg、维生素D ≥1.0μg、 维生素E ≥1.00mg、维生素B1≥ 0.10mg、维生素B2 ≥0.10mg、维生素B6≥ 0.10mg、维生素B12 ≥0.05μg、维生素C ≥10.0mg、 烟酸 ≤0.50mg、钙 ≥80mg、铁≥ 1mg、 锌 ≤1mg</w:t>
            </w:r>
          </w:p>
        </w:tc>
        <w:tc>
          <w:tcPr>
            <w:tcW w:w="529" w:type="pct"/>
            <w:noWrap w:val="0"/>
            <w:vAlign w:val="center"/>
          </w:tcPr>
          <w:p w14:paraId="6CD63E1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D1F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0743EE82">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w:t>
            </w:r>
          </w:p>
        </w:tc>
        <w:tc>
          <w:tcPr>
            <w:tcW w:w="653" w:type="pct"/>
            <w:vMerge w:val="restart"/>
            <w:noWrap w:val="0"/>
            <w:vAlign w:val="center"/>
          </w:tcPr>
          <w:p w14:paraId="2F869DE1">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短肽型复合营养液</w:t>
            </w:r>
          </w:p>
        </w:tc>
        <w:tc>
          <w:tcPr>
            <w:tcW w:w="3502" w:type="pct"/>
            <w:noWrap w:val="0"/>
            <w:vAlign w:val="center"/>
          </w:tcPr>
          <w:p w14:paraId="591D1A10">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适用范围：适用于需要营养补充的胃肠功能障碍的人群，特别是蛋白质和脂肪代谢功能障碍的患者</w:t>
            </w:r>
          </w:p>
        </w:tc>
        <w:tc>
          <w:tcPr>
            <w:tcW w:w="529" w:type="pct"/>
            <w:noWrap w:val="0"/>
            <w:vAlign w:val="center"/>
          </w:tcPr>
          <w:p w14:paraId="46B3B40F">
            <w:pPr>
              <w:keepNext w:val="0"/>
              <w:keepLines w:val="0"/>
              <w:widowControl/>
              <w:suppressLineNumbers w:val="0"/>
              <w:jc w:val="both"/>
              <w:textAlignment w:val="center"/>
              <w:rPr>
                <w:rFonts w:hint="eastAsia" w:ascii="宋体" w:hAnsi="宋体" w:eastAsia="宋体" w:cs="宋体"/>
                <w:sz w:val="24"/>
                <w:szCs w:val="24"/>
              </w:rPr>
            </w:pPr>
          </w:p>
        </w:tc>
      </w:tr>
      <w:tr w14:paraId="1CAE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234B3450">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188800F">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742F850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≥410kJ、蛋白质≥ 4.0g、脂肪≥ 2g、碳水化合物 ≥15g 钠 ≥100mg、维生素A ≥30μg 、 维生素D ≥1.0μg、 维生素E≥ 1.00mg 、 维生素B1≥ 0.10mg、维生素B2 ≥0.10mg维生素B6≥ 0.10mg、 维生素B12 ≥0.05μg、维生素C ≥10.0mg、烟酸≤ 0.50mg、 钙≤ 100mg、 铁≥ 1mg、 锌≥ 2.00mg</w:t>
            </w:r>
          </w:p>
        </w:tc>
        <w:tc>
          <w:tcPr>
            <w:tcW w:w="529" w:type="pct"/>
            <w:noWrap w:val="0"/>
            <w:vAlign w:val="center"/>
          </w:tcPr>
          <w:p w14:paraId="3E19849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C83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03BB96A">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p>
        </w:tc>
        <w:tc>
          <w:tcPr>
            <w:tcW w:w="653" w:type="pct"/>
            <w:vMerge w:val="restart"/>
            <w:noWrap w:val="0"/>
            <w:vAlign w:val="center"/>
          </w:tcPr>
          <w:p w14:paraId="65577616">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鱼油复合营养液</w:t>
            </w:r>
          </w:p>
        </w:tc>
        <w:tc>
          <w:tcPr>
            <w:tcW w:w="3502" w:type="pct"/>
            <w:noWrap w:val="0"/>
            <w:vAlign w:val="center"/>
          </w:tcPr>
          <w:p w14:paraId="66B82089">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适用范围：肿瘤患者、危重症患者、肺病患者等需要特定全营养补充的患者</w:t>
            </w:r>
          </w:p>
        </w:tc>
        <w:tc>
          <w:tcPr>
            <w:tcW w:w="529" w:type="pct"/>
            <w:noWrap w:val="0"/>
            <w:vAlign w:val="center"/>
          </w:tcPr>
          <w:p w14:paraId="05C9D7F6">
            <w:pPr>
              <w:keepNext w:val="0"/>
              <w:keepLines w:val="0"/>
              <w:widowControl/>
              <w:suppressLineNumbers w:val="0"/>
              <w:jc w:val="both"/>
              <w:textAlignment w:val="center"/>
              <w:rPr>
                <w:rFonts w:hint="eastAsia" w:ascii="宋体" w:hAnsi="宋体" w:eastAsia="宋体" w:cs="宋体"/>
                <w:sz w:val="24"/>
                <w:szCs w:val="24"/>
              </w:rPr>
            </w:pPr>
          </w:p>
        </w:tc>
      </w:tr>
      <w:tr w14:paraId="012D8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CC9040D">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4D497531">
            <w:pPr>
              <w:keepNext w:val="0"/>
              <w:keepLines w:val="0"/>
              <w:widowControl/>
              <w:suppressLineNumbers w:val="0"/>
              <w:jc w:val="center"/>
              <w:textAlignment w:val="center"/>
              <w:rPr>
                <w:rFonts w:hint="eastAsia" w:ascii="宋体" w:hAnsi="宋体" w:eastAsia="宋体" w:cs="宋体"/>
                <w:sz w:val="24"/>
                <w:szCs w:val="24"/>
              </w:rPr>
            </w:pPr>
          </w:p>
        </w:tc>
        <w:tc>
          <w:tcPr>
            <w:tcW w:w="3502" w:type="pct"/>
            <w:noWrap w:val="0"/>
            <w:vAlign w:val="center"/>
          </w:tcPr>
          <w:p w14:paraId="1860410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≥630kJ、蛋白质 ≥7g、脂肪 ≥7.0g、碳水化合物 ≥13g、膳食纤维 ≥2.0g、钠≥ 50mg、 维生素A ≥50μg、维生素D ≥1.0μg、维生素E ≥1.00mg 、维生素B1 ≥0.10mg、维生素B2 ≥0.10mg、维生素B6≥ 0.10mg、维生素B12 ≥0.05μg、维生素C≥ 10.0mg、烟酸 ≤0.50mg、钙 ≥120mg、铁 ≥1mg、锌≤ 1.0mg</w:t>
            </w:r>
          </w:p>
        </w:tc>
        <w:tc>
          <w:tcPr>
            <w:tcW w:w="529" w:type="pct"/>
            <w:noWrap w:val="0"/>
            <w:vAlign w:val="center"/>
          </w:tcPr>
          <w:p w14:paraId="240C35B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8FA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069D0E48">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w:t>
            </w:r>
          </w:p>
        </w:tc>
        <w:tc>
          <w:tcPr>
            <w:tcW w:w="653" w:type="pct"/>
            <w:vMerge w:val="restart"/>
            <w:noWrap w:val="0"/>
            <w:vAlign w:val="center"/>
          </w:tcPr>
          <w:p w14:paraId="4676639E">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水解蛋白液</w:t>
            </w:r>
          </w:p>
        </w:tc>
        <w:tc>
          <w:tcPr>
            <w:tcW w:w="3502" w:type="pct"/>
            <w:noWrap w:val="0"/>
            <w:vAlign w:val="center"/>
          </w:tcPr>
          <w:p w14:paraId="3F96496B">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适用范围：适用于特定疾病或医学状况下需要补充蛋白质的人群，不适用于肠内营养禁忌患者；婴幼儿、孕妇及哺乳期妇女不宜食用</w:t>
            </w:r>
          </w:p>
        </w:tc>
        <w:tc>
          <w:tcPr>
            <w:tcW w:w="529" w:type="pct"/>
            <w:noWrap w:val="0"/>
            <w:vAlign w:val="center"/>
          </w:tcPr>
          <w:p w14:paraId="60096B77">
            <w:pPr>
              <w:keepNext w:val="0"/>
              <w:keepLines w:val="0"/>
              <w:widowControl/>
              <w:suppressLineNumbers w:val="0"/>
              <w:jc w:val="both"/>
              <w:textAlignment w:val="center"/>
              <w:rPr>
                <w:rFonts w:hint="eastAsia" w:ascii="宋体" w:hAnsi="宋体" w:eastAsia="宋体" w:cs="宋体"/>
                <w:sz w:val="24"/>
                <w:szCs w:val="24"/>
              </w:rPr>
            </w:pPr>
          </w:p>
        </w:tc>
      </w:tr>
      <w:tr w14:paraId="031DC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6252BA67">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64238ED5">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33D0CF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700kJ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蛋白质 ≥35.0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碳水化合物≥ 4 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钠≥ 280mg</w:t>
            </w:r>
          </w:p>
        </w:tc>
        <w:tc>
          <w:tcPr>
            <w:tcW w:w="529" w:type="pct"/>
            <w:noWrap w:val="0"/>
            <w:vAlign w:val="center"/>
          </w:tcPr>
          <w:p w14:paraId="55D5B87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D09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2F485E21">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w:t>
            </w:r>
          </w:p>
        </w:tc>
        <w:tc>
          <w:tcPr>
            <w:tcW w:w="653" w:type="pct"/>
            <w:vMerge w:val="restart"/>
            <w:noWrap w:val="0"/>
            <w:vAlign w:val="center"/>
          </w:tcPr>
          <w:p w14:paraId="69B31182">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810" cy="514350"/>
                  <wp:effectExtent l="0" t="0" r="15240" b="0"/>
                  <wp:wrapNone/>
                  <wp:docPr id="9" name="图片_2"/>
                  <wp:cNvGraphicFramePr/>
                  <a:graphic xmlns:a="http://schemas.openxmlformats.org/drawingml/2006/main">
                    <a:graphicData uri="http://schemas.openxmlformats.org/drawingml/2006/picture">
                      <pic:pic xmlns:pic="http://schemas.openxmlformats.org/drawingml/2006/picture">
                        <pic:nvPicPr>
                          <pic:cNvPr id="9" name="图片_2"/>
                          <pic:cNvPicPr/>
                        </pic:nvPicPr>
                        <pic:blipFill>
                          <a:blip r:embed="rId11"/>
                          <a:stretch>
                            <a:fillRect/>
                          </a:stretch>
                        </pic:blipFill>
                        <pic:spPr>
                          <a:xfrm>
                            <a:off x="0" y="0"/>
                            <a:ext cx="3810" cy="51435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810" cy="514350"/>
                  <wp:effectExtent l="0" t="0" r="15240" b="0"/>
                  <wp:wrapNone/>
                  <wp:docPr id="10" name="图片_4"/>
                  <wp:cNvGraphicFramePr/>
                  <a:graphic xmlns:a="http://schemas.openxmlformats.org/drawingml/2006/main">
                    <a:graphicData uri="http://schemas.openxmlformats.org/drawingml/2006/picture">
                      <pic:pic xmlns:pic="http://schemas.openxmlformats.org/drawingml/2006/picture">
                        <pic:nvPicPr>
                          <pic:cNvPr id="10" name="图片_4"/>
                          <pic:cNvPicPr/>
                        </pic:nvPicPr>
                        <pic:blipFill>
                          <a:blip r:embed="rId11"/>
                          <a:stretch>
                            <a:fillRect/>
                          </a:stretch>
                        </pic:blipFill>
                        <pic:spPr>
                          <a:xfrm>
                            <a:off x="0" y="0"/>
                            <a:ext cx="3810" cy="514350"/>
                          </a:xfrm>
                          <a:prstGeom prst="rect">
                            <a:avLst/>
                          </a:prstGeom>
                          <a:noFill/>
                          <a:ln>
                            <a:noFill/>
                          </a:ln>
                        </pic:spPr>
                      </pic:pic>
                    </a:graphicData>
                  </a:graphic>
                </wp:anchor>
              </w:drawing>
            </w:r>
            <w:r>
              <w:rPr>
                <w:rFonts w:hint="eastAsia" w:ascii="宋体" w:hAnsi="宋体" w:eastAsia="宋体" w:cs="宋体"/>
                <w:color w:val="auto"/>
                <w:sz w:val="24"/>
                <w:szCs w:val="24"/>
                <w:highlight w:val="none"/>
                <w:lang w:val="en-US" w:eastAsia="zh-CN"/>
              </w:rPr>
              <w:t>低酯果胶营养液</w:t>
            </w:r>
          </w:p>
        </w:tc>
        <w:tc>
          <w:tcPr>
            <w:tcW w:w="3502" w:type="pct"/>
            <w:noWrap w:val="0"/>
            <w:vAlign w:val="center"/>
          </w:tcPr>
          <w:p w14:paraId="7286B099">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适用范围：适用于因单独使用肠内营养制剂引起腹泻、便秘、呕吐、反流、血糖升高等不良并发症，或管饲时间过长，营养液无法吸收的患者。</w:t>
            </w:r>
          </w:p>
        </w:tc>
        <w:tc>
          <w:tcPr>
            <w:tcW w:w="529" w:type="pct"/>
            <w:noWrap w:val="0"/>
            <w:vAlign w:val="center"/>
          </w:tcPr>
          <w:p w14:paraId="79B10956">
            <w:pPr>
              <w:keepNext w:val="0"/>
              <w:keepLines w:val="0"/>
              <w:widowControl/>
              <w:suppressLineNumbers w:val="0"/>
              <w:jc w:val="both"/>
              <w:textAlignment w:val="center"/>
              <w:rPr>
                <w:rFonts w:hint="eastAsia" w:ascii="宋体" w:hAnsi="宋体" w:eastAsia="宋体" w:cs="宋体"/>
                <w:sz w:val="24"/>
                <w:szCs w:val="24"/>
              </w:rPr>
            </w:pPr>
          </w:p>
        </w:tc>
      </w:tr>
      <w:tr w14:paraId="491F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27D1AD88">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6C3E376E">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29C7C2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30kJ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碳水化合 ≤1g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膳食纤维 ≥1g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钠≥ 130mg</w:t>
            </w:r>
          </w:p>
        </w:tc>
        <w:tc>
          <w:tcPr>
            <w:tcW w:w="529" w:type="pct"/>
            <w:noWrap w:val="0"/>
            <w:vAlign w:val="center"/>
          </w:tcPr>
          <w:p w14:paraId="013F658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D33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007402A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6</w:t>
            </w:r>
          </w:p>
        </w:tc>
        <w:tc>
          <w:tcPr>
            <w:tcW w:w="653" w:type="pct"/>
            <w:vMerge w:val="restart"/>
            <w:noWrap w:val="0"/>
            <w:vAlign w:val="center"/>
          </w:tcPr>
          <w:p w14:paraId="0D8BD255">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蛋白棒冷加工糕点</w:t>
            </w:r>
          </w:p>
        </w:tc>
        <w:tc>
          <w:tcPr>
            <w:tcW w:w="3502" w:type="pct"/>
            <w:noWrap w:val="0"/>
            <w:vAlign w:val="center"/>
          </w:tcPr>
          <w:p w14:paraId="3943180F">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w:t>
            </w:r>
            <w:r>
              <w:rPr>
                <w:rFonts w:hint="eastAsia" w:ascii="宋体" w:hAnsi="宋体" w:eastAsia="宋体" w:cs="宋体"/>
                <w:sz w:val="24"/>
                <w:szCs w:val="24"/>
                <w:lang w:val="en-US" w:eastAsia="zh-CN"/>
              </w:rPr>
              <w:t>适用于15岁以上，超重、肥胖、需要进行体重控制人群</w:t>
            </w:r>
          </w:p>
        </w:tc>
        <w:tc>
          <w:tcPr>
            <w:tcW w:w="529" w:type="pct"/>
            <w:noWrap w:val="0"/>
            <w:vAlign w:val="center"/>
          </w:tcPr>
          <w:p w14:paraId="172BF2FC">
            <w:pPr>
              <w:keepNext w:val="0"/>
              <w:keepLines w:val="0"/>
              <w:widowControl/>
              <w:suppressLineNumbers w:val="0"/>
              <w:jc w:val="both"/>
              <w:textAlignment w:val="center"/>
              <w:rPr>
                <w:rFonts w:hint="eastAsia" w:ascii="宋体" w:hAnsi="宋体" w:eastAsia="宋体" w:cs="宋体"/>
                <w:sz w:val="24"/>
                <w:szCs w:val="24"/>
              </w:rPr>
            </w:pPr>
          </w:p>
        </w:tc>
      </w:tr>
      <w:tr w14:paraId="3B81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6DDCE8AD">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5C8450DF">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403A5EB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能量≤1650KJ，蛋白质≤30g，脂肪≤16g，碳水化合物≥20g，膳食纤维≤15g</w:t>
            </w:r>
          </w:p>
        </w:tc>
        <w:tc>
          <w:tcPr>
            <w:tcW w:w="529" w:type="pct"/>
            <w:noWrap w:val="0"/>
            <w:vAlign w:val="center"/>
          </w:tcPr>
          <w:p w14:paraId="04EA9DD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7417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942F74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7</w:t>
            </w:r>
          </w:p>
        </w:tc>
        <w:tc>
          <w:tcPr>
            <w:tcW w:w="653" w:type="pct"/>
            <w:vMerge w:val="restart"/>
            <w:noWrap w:val="0"/>
            <w:vAlign w:val="center"/>
          </w:tcPr>
          <w:p w14:paraId="3FAAB162">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蛋白棒冷加工糕点（原味）</w:t>
            </w:r>
          </w:p>
        </w:tc>
        <w:tc>
          <w:tcPr>
            <w:tcW w:w="3502" w:type="pct"/>
            <w:noWrap w:val="0"/>
            <w:vAlign w:val="center"/>
          </w:tcPr>
          <w:p w14:paraId="0A903D5E">
            <w:pPr>
              <w:keepNext w:val="0"/>
              <w:keepLines w:val="0"/>
              <w:widowControl/>
              <w:suppressLineNumbers w:val="0"/>
              <w:jc w:val="both"/>
              <w:textAlignment w:val="center"/>
              <w:rPr>
                <w:rFonts w:hint="eastAsia" w:ascii="宋体" w:hAnsi="宋体" w:eastAsia="宋体" w:cs="宋体"/>
                <w:kern w:val="10"/>
                <w:sz w:val="24"/>
                <w:szCs w:val="24"/>
              </w:rPr>
            </w:pPr>
            <w:r>
              <w:rPr>
                <w:rFonts w:hint="eastAsia" w:ascii="宋体" w:hAnsi="宋体" w:eastAsia="宋体" w:cs="宋体"/>
                <w:i w:val="0"/>
                <w:iCs w:val="0"/>
                <w:color w:val="000000"/>
                <w:kern w:val="0"/>
                <w:sz w:val="24"/>
                <w:szCs w:val="24"/>
                <w:u w:val="none"/>
                <w:lang w:val="en-US" w:eastAsia="zh-CN" w:bidi="ar"/>
              </w:rPr>
              <w:t>适用范围：适用于15岁以上，超重、肥胖、需要进行体重控制人群</w:t>
            </w:r>
          </w:p>
        </w:tc>
        <w:tc>
          <w:tcPr>
            <w:tcW w:w="529" w:type="pct"/>
            <w:noWrap w:val="0"/>
            <w:vAlign w:val="center"/>
          </w:tcPr>
          <w:p w14:paraId="4B5FC511">
            <w:pPr>
              <w:keepNext w:val="0"/>
              <w:keepLines w:val="0"/>
              <w:widowControl/>
              <w:suppressLineNumbers w:val="0"/>
              <w:jc w:val="both"/>
              <w:textAlignment w:val="center"/>
              <w:rPr>
                <w:rFonts w:hint="eastAsia" w:ascii="宋体" w:hAnsi="宋体" w:eastAsia="宋体" w:cs="宋体"/>
                <w:sz w:val="24"/>
                <w:szCs w:val="24"/>
              </w:rPr>
            </w:pPr>
          </w:p>
        </w:tc>
      </w:tr>
      <w:tr w14:paraId="4BF1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7FE494AC">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5C11AABD">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1F00F5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能量≥1500KJ，蛋白质≤35g，脂肪≤10.0g，碳水化合物≤25.0g，膳食纤维≥15g</w:t>
            </w:r>
          </w:p>
        </w:tc>
        <w:tc>
          <w:tcPr>
            <w:tcW w:w="529" w:type="pct"/>
            <w:noWrap w:val="0"/>
            <w:vAlign w:val="center"/>
          </w:tcPr>
          <w:p w14:paraId="3B01615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D82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203A1B2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8</w:t>
            </w:r>
          </w:p>
        </w:tc>
        <w:tc>
          <w:tcPr>
            <w:tcW w:w="653" w:type="pct"/>
            <w:vMerge w:val="restart"/>
            <w:noWrap w:val="0"/>
            <w:vAlign w:val="center"/>
          </w:tcPr>
          <w:p w14:paraId="214109FC">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蛋白固体饮料</w:t>
            </w:r>
          </w:p>
        </w:tc>
        <w:tc>
          <w:tcPr>
            <w:tcW w:w="3502" w:type="pct"/>
            <w:noWrap w:val="0"/>
            <w:vAlign w:val="center"/>
          </w:tcPr>
          <w:p w14:paraId="22163396">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适用范围：适用于15岁以上，超重、肥胖、需要进行体重控制人群</w:t>
            </w:r>
          </w:p>
        </w:tc>
        <w:tc>
          <w:tcPr>
            <w:tcW w:w="529" w:type="pct"/>
            <w:noWrap w:val="0"/>
            <w:vAlign w:val="center"/>
          </w:tcPr>
          <w:p w14:paraId="68BE5305">
            <w:pPr>
              <w:keepNext w:val="0"/>
              <w:keepLines w:val="0"/>
              <w:widowControl/>
              <w:suppressLineNumbers w:val="0"/>
              <w:jc w:val="both"/>
              <w:textAlignment w:val="center"/>
              <w:rPr>
                <w:rFonts w:hint="eastAsia" w:ascii="宋体" w:hAnsi="宋体" w:eastAsia="宋体" w:cs="宋体"/>
                <w:sz w:val="24"/>
                <w:szCs w:val="24"/>
              </w:rPr>
            </w:pPr>
          </w:p>
        </w:tc>
      </w:tr>
      <w:tr w14:paraId="5645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7F0ABF4">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74808483">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E7681C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粉剂，每100g产品参数如下：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能量≥1400KJ，蛋白质≥20g，脂肪≤6.5g，碳水化合物≥35g，膳食纤维≥25g</w:t>
            </w:r>
          </w:p>
        </w:tc>
        <w:tc>
          <w:tcPr>
            <w:tcW w:w="529" w:type="pct"/>
            <w:noWrap w:val="0"/>
            <w:vAlign w:val="center"/>
          </w:tcPr>
          <w:p w14:paraId="440CC94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01C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FD6792F">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9</w:t>
            </w:r>
          </w:p>
        </w:tc>
        <w:tc>
          <w:tcPr>
            <w:tcW w:w="653" w:type="pct"/>
            <w:vMerge w:val="restart"/>
            <w:noWrap w:val="0"/>
            <w:vAlign w:val="center"/>
          </w:tcPr>
          <w:p w14:paraId="2B43C9D7">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膳食纤维粉</w:t>
            </w:r>
          </w:p>
        </w:tc>
        <w:tc>
          <w:tcPr>
            <w:tcW w:w="3502" w:type="pct"/>
            <w:noWrap w:val="0"/>
            <w:vAlign w:val="center"/>
          </w:tcPr>
          <w:p w14:paraId="53EF8439">
            <w:pPr>
              <w:keepNext w:val="0"/>
              <w:keepLines w:val="0"/>
              <w:widowControl/>
              <w:suppressLineNumbers w:val="0"/>
              <w:jc w:val="both"/>
              <w:textAlignment w:val="center"/>
              <w:rPr>
                <w:rFonts w:hint="eastAsia" w:ascii="宋体" w:hAnsi="宋体" w:eastAsia="宋体" w:cs="宋体"/>
                <w:kern w:val="10"/>
                <w:sz w:val="24"/>
                <w:szCs w:val="24"/>
              </w:rPr>
            </w:pPr>
            <w:r>
              <w:rPr>
                <w:rFonts w:hint="eastAsia" w:ascii="宋体" w:hAnsi="宋体" w:eastAsia="宋体" w:cs="宋体"/>
                <w:i w:val="0"/>
                <w:iCs w:val="0"/>
                <w:color w:val="000000"/>
                <w:kern w:val="0"/>
                <w:sz w:val="24"/>
                <w:szCs w:val="24"/>
                <w:u w:val="none"/>
                <w:lang w:val="en-US" w:eastAsia="zh-CN" w:bidi="ar"/>
              </w:rPr>
              <w:t>适用范围：便秘、超重肥胖、高血糖等慢病人群，以及日常膳食纤维缺乏人群</w:t>
            </w:r>
          </w:p>
        </w:tc>
        <w:tc>
          <w:tcPr>
            <w:tcW w:w="529" w:type="pct"/>
            <w:noWrap w:val="0"/>
            <w:vAlign w:val="center"/>
          </w:tcPr>
          <w:p w14:paraId="4DF5B30F">
            <w:pPr>
              <w:keepNext w:val="0"/>
              <w:keepLines w:val="0"/>
              <w:widowControl/>
              <w:suppressLineNumbers w:val="0"/>
              <w:jc w:val="both"/>
              <w:textAlignment w:val="center"/>
              <w:rPr>
                <w:rFonts w:hint="eastAsia" w:ascii="宋体" w:hAnsi="宋体" w:eastAsia="宋体" w:cs="宋体"/>
                <w:sz w:val="24"/>
                <w:szCs w:val="24"/>
              </w:rPr>
            </w:pPr>
          </w:p>
        </w:tc>
      </w:tr>
      <w:tr w14:paraId="1AA0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7FB4475A">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764C3205">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4BE3144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每100g产品参数如下：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能量≥800KJ，碳水化合物≤7g，膳食纤维≤100g</w:t>
            </w:r>
          </w:p>
        </w:tc>
        <w:tc>
          <w:tcPr>
            <w:tcW w:w="529" w:type="pct"/>
            <w:noWrap w:val="0"/>
            <w:vAlign w:val="center"/>
          </w:tcPr>
          <w:p w14:paraId="0CF192F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249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14" w:type="pct"/>
            <w:vMerge w:val="restart"/>
            <w:noWrap w:val="0"/>
            <w:vAlign w:val="center"/>
          </w:tcPr>
          <w:p w14:paraId="529989E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10</w:t>
            </w:r>
          </w:p>
        </w:tc>
        <w:tc>
          <w:tcPr>
            <w:tcW w:w="653" w:type="pct"/>
            <w:vMerge w:val="restart"/>
            <w:noWrap w:val="0"/>
            <w:vAlign w:val="center"/>
          </w:tcPr>
          <w:p w14:paraId="3F48B31E">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能量阻断剂固体饮品</w:t>
            </w:r>
          </w:p>
        </w:tc>
        <w:tc>
          <w:tcPr>
            <w:tcW w:w="3502" w:type="pct"/>
            <w:noWrap w:val="0"/>
            <w:vAlign w:val="center"/>
          </w:tcPr>
          <w:p w14:paraId="7B03097F">
            <w:pPr>
              <w:keepNext w:val="0"/>
              <w:keepLines w:val="0"/>
              <w:widowControl/>
              <w:suppressLineNumbers w:val="0"/>
              <w:jc w:val="both"/>
              <w:textAlignment w:val="center"/>
              <w:rPr>
                <w:rFonts w:hint="eastAsia" w:ascii="宋体" w:hAnsi="宋体" w:eastAsia="宋体" w:cs="宋体"/>
                <w:kern w:val="1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禁忌人群：婴幼儿；急性、慢性肠炎、伤寒、痢疾、结肠窒息炎、消化道出血、肠道手术前后、肠道食道管腔狭窄、食道静脉曲张等胃肠道严重疾病人群</w:t>
            </w:r>
          </w:p>
        </w:tc>
        <w:tc>
          <w:tcPr>
            <w:tcW w:w="529" w:type="pct"/>
            <w:noWrap w:val="0"/>
            <w:vAlign w:val="center"/>
          </w:tcPr>
          <w:p w14:paraId="000F270B">
            <w:pPr>
              <w:keepNext w:val="0"/>
              <w:keepLines w:val="0"/>
              <w:widowControl/>
              <w:suppressLineNumbers w:val="0"/>
              <w:jc w:val="both"/>
              <w:textAlignment w:val="center"/>
              <w:rPr>
                <w:rFonts w:hint="eastAsia" w:ascii="宋体" w:hAnsi="宋体" w:eastAsia="宋体" w:cs="宋体"/>
                <w:kern w:val="10"/>
                <w:sz w:val="24"/>
                <w:szCs w:val="24"/>
              </w:rPr>
            </w:pPr>
          </w:p>
        </w:tc>
      </w:tr>
      <w:tr w14:paraId="198C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D63A9AD">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3E40F66E">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8B3F21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能量≥700KJ，蛋白质≤4.5g，碳水化合物</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≤30g，膳食纤维≥50g</w:t>
            </w:r>
          </w:p>
        </w:tc>
        <w:tc>
          <w:tcPr>
            <w:tcW w:w="529" w:type="pct"/>
            <w:noWrap w:val="0"/>
            <w:vAlign w:val="center"/>
          </w:tcPr>
          <w:p w14:paraId="7B902FD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291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406E91B">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11</w:t>
            </w:r>
          </w:p>
        </w:tc>
        <w:tc>
          <w:tcPr>
            <w:tcW w:w="653" w:type="pct"/>
            <w:vMerge w:val="restart"/>
            <w:noWrap w:val="0"/>
            <w:vAlign w:val="center"/>
          </w:tcPr>
          <w:p w14:paraId="4AA30448">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低GI高纤饼干</w:t>
            </w:r>
          </w:p>
        </w:tc>
        <w:tc>
          <w:tcPr>
            <w:tcW w:w="3502" w:type="pct"/>
            <w:noWrap w:val="0"/>
            <w:vAlign w:val="center"/>
          </w:tcPr>
          <w:p w14:paraId="50BFA122">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3EBDD10F">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1.需要控制血糖人群；                                   </w:t>
            </w:r>
          </w:p>
          <w:p w14:paraId="4557E612">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2.体重管理人群；                                       </w:t>
            </w:r>
          </w:p>
          <w:p w14:paraId="62B3C59C">
            <w:pPr>
              <w:keepNext w:val="0"/>
              <w:keepLines w:val="0"/>
              <w:widowControl/>
              <w:numPr>
                <w:ilvl w:val="0"/>
                <w:numId w:val="0"/>
              </w:numPr>
              <w:suppressLineNumbers w:val="0"/>
              <w:ind w:leftChars="0"/>
              <w:jc w:val="both"/>
              <w:textAlignment w:val="center"/>
              <w:rPr>
                <w:rFonts w:hint="eastAsia" w:ascii="宋体" w:hAnsi="宋体" w:eastAsia="宋体" w:cs="宋体"/>
                <w:kern w:val="10"/>
                <w:sz w:val="24"/>
                <w:szCs w:val="24"/>
              </w:rPr>
            </w:pPr>
            <w:r>
              <w:rPr>
                <w:rFonts w:hint="eastAsia" w:ascii="宋体" w:hAnsi="宋体" w:eastAsia="宋体" w:cs="宋体"/>
                <w:i w:val="0"/>
                <w:iCs w:val="0"/>
                <w:color w:val="000000"/>
                <w:kern w:val="0"/>
                <w:sz w:val="24"/>
                <w:szCs w:val="24"/>
                <w:u w:val="none"/>
                <w:lang w:val="en-US" w:eastAsia="zh-CN" w:bidi="ar"/>
              </w:rPr>
              <w:t>3. 妊娠期糖尿病人群、妊娠期需要控制体重人群。</w:t>
            </w:r>
          </w:p>
        </w:tc>
        <w:tc>
          <w:tcPr>
            <w:tcW w:w="529" w:type="pct"/>
            <w:noWrap w:val="0"/>
            <w:vAlign w:val="center"/>
          </w:tcPr>
          <w:p w14:paraId="70E947EB">
            <w:pPr>
              <w:keepNext w:val="0"/>
              <w:keepLines w:val="0"/>
              <w:widowControl/>
              <w:suppressLineNumbers w:val="0"/>
              <w:jc w:val="both"/>
              <w:textAlignment w:val="center"/>
              <w:rPr>
                <w:rFonts w:hint="eastAsia" w:ascii="宋体" w:hAnsi="宋体" w:eastAsia="宋体" w:cs="宋体"/>
                <w:sz w:val="24"/>
                <w:szCs w:val="24"/>
              </w:rPr>
            </w:pPr>
          </w:p>
        </w:tc>
      </w:tr>
      <w:tr w14:paraId="6BE5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1C624197">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70A925F8">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7A78918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每100g产品参数如下：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能量≥1700KJ，蛋白质≥10g，脂肪≤15g，碳水化合物≥55g，膳食纤维≥10g，钙≤380mg，铁≥7mg，锌≥7mg</w:t>
            </w:r>
          </w:p>
        </w:tc>
        <w:tc>
          <w:tcPr>
            <w:tcW w:w="529" w:type="pct"/>
            <w:noWrap w:val="0"/>
            <w:vAlign w:val="center"/>
          </w:tcPr>
          <w:p w14:paraId="11CB4D1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39C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0E3106BC">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12</w:t>
            </w:r>
          </w:p>
        </w:tc>
        <w:tc>
          <w:tcPr>
            <w:tcW w:w="653" w:type="pct"/>
            <w:vMerge w:val="restart"/>
            <w:noWrap w:val="0"/>
            <w:vAlign w:val="center"/>
          </w:tcPr>
          <w:p w14:paraId="54F828E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多种维矿片</w:t>
            </w:r>
          </w:p>
        </w:tc>
        <w:tc>
          <w:tcPr>
            <w:tcW w:w="3502" w:type="pct"/>
            <w:noWrap w:val="0"/>
            <w:vAlign w:val="center"/>
          </w:tcPr>
          <w:p w14:paraId="650D8DD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00DED81B">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需要补充钙的7-17岁儿童青少年、成人、孕妇以及乳母。</w:t>
            </w:r>
          </w:p>
        </w:tc>
        <w:tc>
          <w:tcPr>
            <w:tcW w:w="529" w:type="pct"/>
            <w:noWrap w:val="0"/>
            <w:vAlign w:val="center"/>
          </w:tcPr>
          <w:p w14:paraId="7A53AADE">
            <w:pPr>
              <w:keepNext w:val="0"/>
              <w:keepLines w:val="0"/>
              <w:widowControl/>
              <w:suppressLineNumbers w:val="0"/>
              <w:jc w:val="both"/>
              <w:textAlignment w:val="center"/>
              <w:rPr>
                <w:rFonts w:hint="eastAsia" w:ascii="宋体" w:hAnsi="宋体" w:eastAsia="宋体" w:cs="宋体"/>
                <w:b/>
                <w:sz w:val="24"/>
                <w:szCs w:val="24"/>
              </w:rPr>
            </w:pPr>
          </w:p>
        </w:tc>
      </w:tr>
      <w:tr w14:paraId="1D51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CA06785">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331F44F4">
            <w:pPr>
              <w:keepNext w:val="0"/>
              <w:keepLines w:val="0"/>
              <w:widowControl/>
              <w:suppressLineNumbers w:val="0"/>
              <w:jc w:val="both"/>
              <w:textAlignment w:val="center"/>
              <w:rPr>
                <w:rFonts w:hint="eastAsia" w:ascii="宋体" w:hAnsi="宋体" w:eastAsia="宋体" w:cs="宋体"/>
                <w:sz w:val="24"/>
                <w:szCs w:val="24"/>
              </w:rPr>
            </w:pPr>
          </w:p>
        </w:tc>
        <w:tc>
          <w:tcPr>
            <w:tcW w:w="3502" w:type="pct"/>
            <w:shd w:val="clear" w:color="auto" w:fill="auto"/>
            <w:noWrap w:val="0"/>
            <w:vAlign w:val="center"/>
          </w:tcPr>
          <w:p w14:paraId="4B163664">
            <w:pPr>
              <w:keepNext w:val="0"/>
              <w:keepLines w:val="0"/>
              <w:widowControl/>
              <w:suppressLineNumbers w:val="0"/>
              <w:jc w:val="both"/>
              <w:textAlignment w:val="center"/>
              <w:rPr>
                <w:rFonts w:hint="eastAsia" w:ascii="宋体" w:hAnsi="宋体" w:eastAsia="宋体" w:cs="宋体"/>
                <w:b/>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每2.4g含：能量≤15kj、碳水化合物≤1g、钠≥5mg、维生素A ≥200ug、维生素D ≤6ug、维生素E ≥10.00mg、维生素B1 ≥1.5mg、维生素B2 ≥1mg、维生素B6 ≥1mg、维生素B12 ≤2.00ug、维生素C ≥40.0mg、烟酸≥8.00mg、叶酸≥156ug、泛酸≤2mg、生物素≥30.0ug、、镁≥120mg、钙≥300mg、铁≥8.0mg、锌≥7.00mg、硒≥40.0ug、铜≤1mg、锰≥2.00mg</w:t>
            </w:r>
          </w:p>
        </w:tc>
        <w:tc>
          <w:tcPr>
            <w:tcW w:w="529" w:type="pct"/>
            <w:noWrap w:val="0"/>
            <w:vAlign w:val="center"/>
          </w:tcPr>
          <w:p w14:paraId="76E35EC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F2C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40F217A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13</w:t>
            </w:r>
          </w:p>
        </w:tc>
        <w:tc>
          <w:tcPr>
            <w:tcW w:w="653" w:type="pct"/>
            <w:vMerge w:val="restart"/>
            <w:noWrap w:val="0"/>
            <w:vAlign w:val="center"/>
          </w:tcPr>
          <w:p w14:paraId="2DB77F8A">
            <w:pPr>
              <w:jc w:val="center"/>
              <w:rPr>
                <w:rFonts w:hint="eastAsia" w:ascii="宋体" w:hAnsi="宋体" w:eastAsia="宋体" w:cs="宋体"/>
                <w:kern w:val="10"/>
                <w:sz w:val="24"/>
                <w:szCs w:val="24"/>
              </w:rPr>
            </w:pPr>
            <w:r>
              <w:rPr>
                <w:rFonts w:hint="eastAsia" w:ascii="宋体" w:hAnsi="宋体" w:eastAsia="宋体" w:cs="宋体"/>
                <w:color w:val="auto"/>
                <w:sz w:val="24"/>
                <w:szCs w:val="24"/>
                <w:highlight w:val="none"/>
                <w:lang w:val="en-US" w:eastAsia="zh-CN"/>
              </w:rPr>
              <w:t>活性益生菌复合粉</w:t>
            </w:r>
          </w:p>
        </w:tc>
        <w:tc>
          <w:tcPr>
            <w:tcW w:w="3502" w:type="pct"/>
            <w:noWrap w:val="0"/>
            <w:vAlign w:val="center"/>
          </w:tcPr>
          <w:p w14:paraId="6648FB6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2D26F78B">
            <w:pPr>
              <w:keepNext w:val="0"/>
              <w:keepLines w:val="0"/>
              <w:widowControl/>
              <w:suppressLineNumbers w:val="0"/>
              <w:jc w:val="both"/>
              <w:textAlignment w:val="center"/>
              <w:rPr>
                <w:rFonts w:hint="eastAsia" w:ascii="宋体" w:hAnsi="宋体" w:eastAsia="宋体" w:cs="宋体"/>
                <w:kern w:val="10"/>
                <w:sz w:val="24"/>
                <w:szCs w:val="24"/>
              </w:rPr>
            </w:pPr>
            <w:r>
              <w:rPr>
                <w:rFonts w:hint="eastAsia" w:ascii="宋体" w:hAnsi="宋体" w:eastAsia="宋体" w:cs="宋体"/>
                <w:i w:val="0"/>
                <w:iCs w:val="0"/>
                <w:color w:val="000000"/>
                <w:kern w:val="0"/>
                <w:sz w:val="24"/>
                <w:szCs w:val="24"/>
                <w:u w:val="none"/>
                <w:lang w:val="en-US" w:eastAsia="zh-CN" w:bidi="ar"/>
              </w:rPr>
              <w:t>3岁以上需要调节肠道菌人群 ；6岁以上需要体重管理的儿童青少年以及成人</w:t>
            </w:r>
          </w:p>
        </w:tc>
        <w:tc>
          <w:tcPr>
            <w:tcW w:w="529" w:type="pct"/>
            <w:noWrap w:val="0"/>
            <w:vAlign w:val="center"/>
          </w:tcPr>
          <w:p w14:paraId="4E5E8A94">
            <w:pPr>
              <w:keepNext w:val="0"/>
              <w:keepLines w:val="0"/>
              <w:widowControl/>
              <w:suppressLineNumbers w:val="0"/>
              <w:jc w:val="both"/>
              <w:textAlignment w:val="center"/>
              <w:rPr>
                <w:rFonts w:hint="eastAsia" w:ascii="宋体" w:hAnsi="宋体" w:eastAsia="宋体" w:cs="宋体"/>
                <w:sz w:val="24"/>
                <w:szCs w:val="24"/>
              </w:rPr>
            </w:pPr>
          </w:p>
        </w:tc>
      </w:tr>
      <w:tr w14:paraId="7926D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3D311FE">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7D25B984">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5A38F3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能量≥1000KJ，碳水化合物≤45g，膳食纤维≥40g</w:t>
            </w:r>
          </w:p>
        </w:tc>
        <w:tc>
          <w:tcPr>
            <w:tcW w:w="529" w:type="pct"/>
            <w:noWrap w:val="0"/>
            <w:vAlign w:val="center"/>
          </w:tcPr>
          <w:p w14:paraId="58C60FE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F7CC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29202DE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14</w:t>
            </w:r>
          </w:p>
        </w:tc>
        <w:tc>
          <w:tcPr>
            <w:tcW w:w="653" w:type="pct"/>
            <w:vMerge w:val="restart"/>
            <w:noWrap w:val="0"/>
            <w:vAlign w:val="center"/>
          </w:tcPr>
          <w:p w14:paraId="289CEA5A">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DHA藻油亚麻籽油凝胶糖果</w:t>
            </w:r>
          </w:p>
        </w:tc>
        <w:tc>
          <w:tcPr>
            <w:tcW w:w="3502" w:type="pct"/>
            <w:noWrap w:val="0"/>
            <w:vAlign w:val="center"/>
          </w:tcPr>
          <w:p w14:paraId="7884536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适用范围：成人及孕产妇，可直接咀嚼或吞食，</w:t>
            </w:r>
          </w:p>
        </w:tc>
        <w:tc>
          <w:tcPr>
            <w:tcW w:w="529" w:type="pct"/>
            <w:noWrap w:val="0"/>
            <w:vAlign w:val="center"/>
          </w:tcPr>
          <w:p w14:paraId="5B99D47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AF1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04562E0">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306625E2">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30F9BE1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每粒750mg含DHA≥95mg、a-亚麻酸≥50mg、花生四烯酸≥10mg，能量≥3000kJ,蛋白质≥18g, 脂肪≥65g, 碳水化合物≥10g，钠≥55mg</w:t>
            </w:r>
          </w:p>
        </w:tc>
        <w:tc>
          <w:tcPr>
            <w:tcW w:w="529" w:type="pct"/>
            <w:noWrap w:val="0"/>
            <w:vAlign w:val="center"/>
          </w:tcPr>
          <w:p w14:paraId="22F1D29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B09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69C4BDF">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15</w:t>
            </w:r>
          </w:p>
        </w:tc>
        <w:tc>
          <w:tcPr>
            <w:tcW w:w="653" w:type="pct"/>
            <w:vMerge w:val="restart"/>
            <w:noWrap w:val="0"/>
            <w:vAlign w:val="center"/>
          </w:tcPr>
          <w:p w14:paraId="1422B6FC">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铁锌多种维生素片</w:t>
            </w:r>
          </w:p>
        </w:tc>
        <w:tc>
          <w:tcPr>
            <w:tcW w:w="3502" w:type="pct"/>
            <w:noWrap w:val="0"/>
            <w:vAlign w:val="center"/>
          </w:tcPr>
          <w:p w14:paraId="6C49B73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适用范围：需要补充铁、锌、多种维生素的成人、孕妇、乳母维生素的成人、孕妇、乳母</w:t>
            </w:r>
          </w:p>
        </w:tc>
        <w:tc>
          <w:tcPr>
            <w:tcW w:w="529" w:type="pct"/>
            <w:noWrap w:val="0"/>
            <w:vAlign w:val="center"/>
          </w:tcPr>
          <w:p w14:paraId="499DE4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3C5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0605648">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95DE67A">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4A78B8E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每片0.65g营养成分:铁≥20mg、锌≥8mg、维生素A≥400μg、维生素D≥310μg、维生素B1≥1mg、维生素B2≥1mg、维生素B6≥1mg、维生素B12≥1.5μg、叶酸≥400μg、维生素C≥50mg、维生素E≥10mg</w:t>
            </w:r>
          </w:p>
        </w:tc>
        <w:tc>
          <w:tcPr>
            <w:tcW w:w="529" w:type="pct"/>
            <w:noWrap w:val="0"/>
            <w:vAlign w:val="center"/>
          </w:tcPr>
          <w:p w14:paraId="5C2ACF4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70E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2DF96FE">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16</w:t>
            </w:r>
          </w:p>
        </w:tc>
        <w:tc>
          <w:tcPr>
            <w:tcW w:w="653" w:type="pct"/>
            <w:vMerge w:val="restart"/>
            <w:noWrap w:val="0"/>
            <w:vAlign w:val="center"/>
          </w:tcPr>
          <w:p w14:paraId="3F7F93D2">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叶酸复合营养素片</w:t>
            </w:r>
          </w:p>
        </w:tc>
        <w:tc>
          <w:tcPr>
            <w:tcW w:w="3502" w:type="pct"/>
            <w:noWrap w:val="0"/>
            <w:vAlign w:val="center"/>
          </w:tcPr>
          <w:p w14:paraId="55EE478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适用范围：孕妇及乳母   </w:t>
            </w:r>
          </w:p>
        </w:tc>
        <w:tc>
          <w:tcPr>
            <w:tcW w:w="529" w:type="pct"/>
            <w:noWrap w:val="0"/>
            <w:vAlign w:val="center"/>
          </w:tcPr>
          <w:p w14:paraId="7B21015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tc>
      </w:tr>
      <w:tr w14:paraId="5B619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9DD4100">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D654887">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48169B2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每片0.5g营养成分：能量≥7.5kJ 维生素B2≥1.5mg、蛋白质≥0.1g、 维生素B6≥2mg 脂肪≥0.03g 维生素B12≥3μg、碳水化合物≥0.25g 烟酸≥10mg、钠≥1.4mg、 叶酸≥400μg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维生素A≥400μg 、泛酸≥4.8mg、维生素D≥5.5μg 、铁≥10mg 、维生素E≥10mg 、锌≥8mg、维生素B1≥1.5mg 硒≥40μg  </w:t>
            </w:r>
          </w:p>
        </w:tc>
        <w:tc>
          <w:tcPr>
            <w:tcW w:w="529" w:type="pct"/>
            <w:noWrap w:val="0"/>
            <w:vAlign w:val="center"/>
          </w:tcPr>
          <w:p w14:paraId="26CF3C4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3F4D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1290A9F">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17</w:t>
            </w:r>
          </w:p>
        </w:tc>
        <w:tc>
          <w:tcPr>
            <w:tcW w:w="653" w:type="pct"/>
            <w:vMerge w:val="restart"/>
            <w:noWrap w:val="0"/>
            <w:vAlign w:val="center"/>
          </w:tcPr>
          <w:p w14:paraId="4EB0E24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钙维生素D维生素K咀嚼片</w:t>
            </w:r>
          </w:p>
        </w:tc>
        <w:tc>
          <w:tcPr>
            <w:tcW w:w="3502" w:type="pct"/>
            <w:noWrap w:val="0"/>
            <w:vAlign w:val="center"/>
          </w:tcPr>
          <w:p w14:paraId="7754D37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适宜人群：需要补充钙、维生素D、维生素K的4-17岁人群及成人、孕妇、乳母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不适宜人群：3岁以下人群</w:t>
            </w:r>
          </w:p>
        </w:tc>
        <w:tc>
          <w:tcPr>
            <w:tcW w:w="529" w:type="pct"/>
            <w:noWrap w:val="0"/>
            <w:vAlign w:val="center"/>
          </w:tcPr>
          <w:p w14:paraId="3302163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B64C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75D749ED">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472AE4F0">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90161B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每片2g营养成分：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钙≥550mg、维生素D3≥10μg、维生素K2 ≥50μg</w:t>
            </w:r>
          </w:p>
        </w:tc>
        <w:tc>
          <w:tcPr>
            <w:tcW w:w="529" w:type="pct"/>
            <w:noWrap w:val="0"/>
            <w:vAlign w:val="center"/>
          </w:tcPr>
          <w:p w14:paraId="35C15F8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E5E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6B3B4B1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18</w:t>
            </w:r>
          </w:p>
        </w:tc>
        <w:tc>
          <w:tcPr>
            <w:tcW w:w="653" w:type="pct"/>
            <w:vMerge w:val="restart"/>
            <w:noWrap w:val="0"/>
            <w:vAlign w:val="center"/>
          </w:tcPr>
          <w:p w14:paraId="0A624D7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柠檬酸泡腾片</w:t>
            </w:r>
          </w:p>
        </w:tc>
        <w:tc>
          <w:tcPr>
            <w:tcW w:w="3502" w:type="pct"/>
            <w:noWrap w:val="0"/>
            <w:vAlign w:val="center"/>
          </w:tcPr>
          <w:p w14:paraId="28695EA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高尿酸血症及痛风患者优选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1.复方枸橼酸制剂，多个国内外指南推荐                               2.口感好，服用方便                                                        3.安全性高，可以长期服用                                              4.多科室推广                                </w:t>
            </w:r>
          </w:p>
        </w:tc>
        <w:tc>
          <w:tcPr>
            <w:tcW w:w="529" w:type="pct"/>
            <w:noWrap w:val="0"/>
            <w:vAlign w:val="center"/>
          </w:tcPr>
          <w:p w14:paraId="78C7229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FBC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85655D9">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61CE62C3">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15ED5A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每100g含能量≥1000kJ，碳水化合物≥60g，钠≥10000mg，维生素B1≥1.2mg，维生素B2≥1.2mg，维生素B6≥1.2mg，维生素C≥190mg，烟酰胺≥18mg</w:t>
            </w:r>
          </w:p>
        </w:tc>
        <w:tc>
          <w:tcPr>
            <w:tcW w:w="529" w:type="pct"/>
            <w:noWrap w:val="0"/>
            <w:vAlign w:val="center"/>
          </w:tcPr>
          <w:p w14:paraId="6DA84F1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3B6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C6916D8">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19</w:t>
            </w:r>
          </w:p>
        </w:tc>
        <w:tc>
          <w:tcPr>
            <w:tcW w:w="653" w:type="pct"/>
            <w:vMerge w:val="restart"/>
            <w:noWrap w:val="0"/>
            <w:vAlign w:val="center"/>
          </w:tcPr>
          <w:p w14:paraId="629A313A">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水解蛋白液</w:t>
            </w:r>
          </w:p>
        </w:tc>
        <w:tc>
          <w:tcPr>
            <w:tcW w:w="3502" w:type="pct"/>
            <w:noWrap w:val="0"/>
            <w:vAlign w:val="center"/>
          </w:tcPr>
          <w:p w14:paraId="46C4EEC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本品适用于胃肠功能有损失，而不能或不愿进食足够数量但常规食物难以满足机体蛋白营养需求、应进行肠内营养治疗的病人。主要用于：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代谢性胃肠功能障碍；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 胰腺炎,b. 放射性肠炎及化疗,c. 肠瘘,d. 断肠综合征,e. 艾滋病病毒感染/艾滋病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危重疾病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 严重烧伤,b. 创伤,c. 脓毒症,d. 大手术后的恢复期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营养不良病人的术前喂养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肠道准备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各类疾病、手术或损伤导致的低白蛋白血症（概括为三类：低蛋白血症患者，伤口愈合比较缓慢的患者，蛋白营养不良的患者）</w:t>
            </w:r>
          </w:p>
        </w:tc>
        <w:tc>
          <w:tcPr>
            <w:tcW w:w="529" w:type="pct"/>
            <w:noWrap w:val="0"/>
            <w:vAlign w:val="center"/>
          </w:tcPr>
          <w:p w14:paraId="2F181BC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EF8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74FC37B7">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3D7D568">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B564E4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每100ML产品参数如下：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能量≥600KJ/100ML；蛋白质≥20g/100ML，碳水化合物≥17g/100ML，钠≥120g/100ML</w:t>
            </w:r>
          </w:p>
        </w:tc>
        <w:tc>
          <w:tcPr>
            <w:tcW w:w="529" w:type="pct"/>
            <w:noWrap w:val="0"/>
            <w:vAlign w:val="center"/>
          </w:tcPr>
          <w:p w14:paraId="39C36CA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88C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4E26FC94">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20</w:t>
            </w:r>
          </w:p>
        </w:tc>
        <w:tc>
          <w:tcPr>
            <w:tcW w:w="653" w:type="pct"/>
            <w:vMerge w:val="restart"/>
            <w:noWrap w:val="0"/>
            <w:vAlign w:val="center"/>
          </w:tcPr>
          <w:p w14:paraId="068078A6">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维生素D软胶囊</w:t>
            </w:r>
          </w:p>
        </w:tc>
        <w:tc>
          <w:tcPr>
            <w:tcW w:w="3502" w:type="pct"/>
            <w:noWrap w:val="0"/>
            <w:vAlign w:val="center"/>
          </w:tcPr>
          <w:p w14:paraId="43B01A9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适宜人群：需要补充维生素D的1-17岁人群及成人、孕妇、乳母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不适宜人群：1岁以下人群                                          </w:t>
            </w:r>
          </w:p>
        </w:tc>
        <w:tc>
          <w:tcPr>
            <w:tcW w:w="529" w:type="pct"/>
            <w:noWrap w:val="0"/>
            <w:vAlign w:val="center"/>
          </w:tcPr>
          <w:p w14:paraId="030B964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93C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541E11B">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912C699">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CB0045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每粒含:维生素D3≥10μg</w:t>
            </w:r>
          </w:p>
        </w:tc>
        <w:tc>
          <w:tcPr>
            <w:tcW w:w="529" w:type="pct"/>
            <w:noWrap w:val="0"/>
            <w:vAlign w:val="center"/>
          </w:tcPr>
          <w:p w14:paraId="58D72BF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A8D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3E0F86E">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21</w:t>
            </w:r>
          </w:p>
        </w:tc>
        <w:tc>
          <w:tcPr>
            <w:tcW w:w="653" w:type="pct"/>
            <w:vMerge w:val="restart"/>
            <w:noWrap w:val="0"/>
            <w:vAlign w:val="center"/>
          </w:tcPr>
          <w:p w14:paraId="7A072D6F">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葡萄糖粉</w:t>
            </w:r>
          </w:p>
        </w:tc>
        <w:tc>
          <w:tcPr>
            <w:tcW w:w="3502" w:type="pct"/>
            <w:noWrap w:val="0"/>
            <w:vAlign w:val="center"/>
          </w:tcPr>
          <w:p w14:paraId="25B55A7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适用范围：葡萄糖耐量OGTT试验及需要能量补充的人群。</w:t>
            </w:r>
          </w:p>
        </w:tc>
        <w:tc>
          <w:tcPr>
            <w:tcW w:w="529" w:type="pct"/>
            <w:noWrap w:val="0"/>
            <w:vAlign w:val="center"/>
          </w:tcPr>
          <w:p w14:paraId="43DEF3F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1EF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DCA9FFD">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4482394E">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64467FC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能量≥1200千焦，碳水化合物≥75克，钠≥10克</w:t>
            </w:r>
          </w:p>
        </w:tc>
        <w:tc>
          <w:tcPr>
            <w:tcW w:w="529" w:type="pct"/>
            <w:noWrap w:val="0"/>
            <w:vAlign w:val="center"/>
          </w:tcPr>
          <w:p w14:paraId="5BE6B3D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5F0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6AFC2D2D">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22</w:t>
            </w:r>
          </w:p>
        </w:tc>
        <w:tc>
          <w:tcPr>
            <w:tcW w:w="653" w:type="pct"/>
            <w:vMerge w:val="restart"/>
            <w:noWrap w:val="0"/>
            <w:vAlign w:val="center"/>
          </w:tcPr>
          <w:p w14:paraId="0B8CB575">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血红蛋白肽</w:t>
            </w:r>
          </w:p>
        </w:tc>
        <w:tc>
          <w:tcPr>
            <w:tcW w:w="3502" w:type="pct"/>
            <w:noWrap w:val="0"/>
            <w:vAlign w:val="center"/>
          </w:tcPr>
          <w:p w14:paraId="71B8ADA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提供血细胞必需营养素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一、为血细胞增殖分化提供必需营养；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二、帮助血细胞再生、提高血细胞指标；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 小分子生物活性肽，吸收快，利用率高，无胃肠道刺激。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适用于各种原因导致贫血，或对血细胞蛋白营养有需求的人群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（围手术期贫血，营养不良性贫血，肾性贫血，消化道、痔疮出血、慢性肝病导致的贫血，放化疗后贫血及血小板减少，地中海贫血，血氧饱合度低 等人群）</w:t>
            </w:r>
          </w:p>
        </w:tc>
        <w:tc>
          <w:tcPr>
            <w:tcW w:w="529" w:type="pct"/>
            <w:noWrap w:val="0"/>
            <w:vAlign w:val="center"/>
          </w:tcPr>
          <w:p w14:paraId="0B06019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087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5EE5006">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6D8A84A">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B0F5BC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能量≥400KJ/100ml；蛋白质≥18g/100ml；脂肪≥0g/100ml；碳水化合物≥5.5g/100ml；维生素D≥3.8ug/100ml；钙≥400mg/100ml。</w:t>
            </w:r>
          </w:p>
        </w:tc>
        <w:tc>
          <w:tcPr>
            <w:tcW w:w="529" w:type="pct"/>
            <w:noWrap w:val="0"/>
            <w:vAlign w:val="center"/>
          </w:tcPr>
          <w:p w14:paraId="620A397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0AB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61644B2">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23</w:t>
            </w:r>
          </w:p>
        </w:tc>
        <w:tc>
          <w:tcPr>
            <w:tcW w:w="653" w:type="pct"/>
            <w:vMerge w:val="restart"/>
            <w:noWrap w:val="0"/>
            <w:vAlign w:val="center"/>
          </w:tcPr>
          <w:p w14:paraId="41651BEF">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白蛋白肽</w:t>
            </w:r>
          </w:p>
        </w:tc>
        <w:tc>
          <w:tcPr>
            <w:tcW w:w="3502" w:type="pct"/>
            <w:noWrap w:val="0"/>
            <w:vAlign w:val="center"/>
          </w:tcPr>
          <w:p w14:paraId="5A7D858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补充合成白蛋白所需的营养和能量；为机体蛋白质的合成提供原料：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白蛋白肽平均分子量低于500Da，接近100%吸收利用度；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天然优质动物蛋白来源，高生物效价，合成利用率高；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3. 富含18种氨基酸，其中8种为人体必需氨基酸。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氮源营养摄入较少或消耗过大，需要补充氮源营养的人群；运动后需补充蛋白质人群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（低蛋白血症，创伤、感染、烧伤、手术等应激期，胃肠功能吸收障碍，慢性消耗性疾病等人群）</w:t>
            </w:r>
          </w:p>
        </w:tc>
        <w:tc>
          <w:tcPr>
            <w:tcW w:w="529" w:type="pct"/>
            <w:noWrap w:val="0"/>
            <w:vAlign w:val="center"/>
          </w:tcPr>
          <w:p w14:paraId="3E92F54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58FF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CF65231">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7A4B6B88">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E53095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能量≥400KJ/100ml；蛋白质≥18g/100ml；脂肪≥0g/100ml；碳水化合物≥5.5g/100ml；维生素D≥3.8ug/100ml；钙≥400mg/100ml。</w:t>
            </w:r>
          </w:p>
        </w:tc>
        <w:tc>
          <w:tcPr>
            <w:tcW w:w="529" w:type="pct"/>
            <w:noWrap w:val="0"/>
            <w:vAlign w:val="center"/>
          </w:tcPr>
          <w:p w14:paraId="339460A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8A7A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3F98EFD">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24</w:t>
            </w:r>
          </w:p>
        </w:tc>
        <w:tc>
          <w:tcPr>
            <w:tcW w:w="653" w:type="pct"/>
            <w:vMerge w:val="restart"/>
            <w:noWrap w:val="0"/>
            <w:vAlign w:val="center"/>
          </w:tcPr>
          <w:p w14:paraId="01BE66FA">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骨胶元蛋白肽</w:t>
            </w:r>
          </w:p>
        </w:tc>
        <w:tc>
          <w:tcPr>
            <w:tcW w:w="3502" w:type="pct"/>
            <w:noWrap w:val="0"/>
            <w:vAlign w:val="center"/>
          </w:tcPr>
          <w:p w14:paraId="3274BE1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提供骨形成所需的骨胶原及软骨胶原蛋白肽；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供给软骨形成所需的能量与营养；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加速骨形成与骨修复活动、保护骨关节；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小分子生物活性肽，吸收快，利用率高，无胃肠道刺激。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适用于各种原因导致的软骨营养不足或需要补充软骨蛋白营养的人群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（适宜各种原因导致的骨（软骨）营养不良或需要补充骨（软骨）蛋白营养的人群）</w:t>
            </w:r>
          </w:p>
        </w:tc>
        <w:tc>
          <w:tcPr>
            <w:tcW w:w="529" w:type="pct"/>
            <w:noWrap w:val="0"/>
            <w:vAlign w:val="center"/>
          </w:tcPr>
          <w:p w14:paraId="43CDED0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E3E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119AF4A1">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1652FE42">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E4DFE0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能量≥400KJ/100ml；蛋白质≥18g/100ml；脂肪≥0g/100ml；碳水化合物≥5.5g/100ml；维生素D≥3.8ug/100ml；钙≥400mg/100ml。</w:t>
            </w:r>
          </w:p>
        </w:tc>
        <w:tc>
          <w:tcPr>
            <w:tcW w:w="529" w:type="pct"/>
            <w:noWrap w:val="0"/>
            <w:vAlign w:val="center"/>
          </w:tcPr>
          <w:p w14:paraId="337F26D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BD1E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229860B">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25</w:t>
            </w:r>
          </w:p>
        </w:tc>
        <w:tc>
          <w:tcPr>
            <w:tcW w:w="653" w:type="pct"/>
            <w:vMerge w:val="restart"/>
            <w:noWrap w:val="0"/>
            <w:vAlign w:val="center"/>
          </w:tcPr>
          <w:p w14:paraId="3A6D3001">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血红蛋白肽</w:t>
            </w:r>
          </w:p>
        </w:tc>
        <w:tc>
          <w:tcPr>
            <w:tcW w:w="3502" w:type="pct"/>
            <w:noWrap w:val="0"/>
            <w:vAlign w:val="center"/>
          </w:tcPr>
          <w:p w14:paraId="395483A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2728B66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1、贫血治疗与预防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2、特殊人群的营养补充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3、术后或疾病康复期</w:t>
            </w:r>
          </w:p>
        </w:tc>
        <w:tc>
          <w:tcPr>
            <w:tcW w:w="529" w:type="pct"/>
            <w:noWrap w:val="0"/>
            <w:vAlign w:val="center"/>
          </w:tcPr>
          <w:p w14:paraId="3002038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4AE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1E06F51F">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A7AC9A1">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62C1E72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1.能量≥1500KJ/100ml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2.蛋白质≥60g/100ml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3.碳水化合物≥30g/100ml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4.钠≥250mg/100ml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5.铁≥30.0mg/100ml</w:t>
            </w:r>
          </w:p>
        </w:tc>
        <w:tc>
          <w:tcPr>
            <w:tcW w:w="529" w:type="pct"/>
            <w:noWrap w:val="0"/>
            <w:vAlign w:val="center"/>
          </w:tcPr>
          <w:p w14:paraId="3A2FD8A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89F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766FC46">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26</w:t>
            </w:r>
          </w:p>
        </w:tc>
        <w:tc>
          <w:tcPr>
            <w:tcW w:w="653" w:type="pct"/>
            <w:vMerge w:val="restart"/>
            <w:noWrap w:val="0"/>
            <w:vAlign w:val="center"/>
          </w:tcPr>
          <w:p w14:paraId="6F9C5015">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分离乳清蛋白固体饮料</w:t>
            </w:r>
          </w:p>
        </w:tc>
        <w:tc>
          <w:tcPr>
            <w:tcW w:w="3502" w:type="pct"/>
            <w:noWrap w:val="0"/>
            <w:vAlign w:val="center"/>
          </w:tcPr>
          <w:p w14:paraId="727E09D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本品作为优质蛋白质营养补充剂，适用于蛋白质营养需求大，蛋白质摄入不足，以及蛋白质消耗、丢失严重人群，也适用于为营养不良人群提供蛋白质的营养补充</w:t>
            </w:r>
          </w:p>
        </w:tc>
        <w:tc>
          <w:tcPr>
            <w:tcW w:w="529" w:type="pct"/>
            <w:noWrap w:val="0"/>
            <w:vAlign w:val="center"/>
          </w:tcPr>
          <w:p w14:paraId="424E1AE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5AB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8E96A07">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6ED83BD7">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53390D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每100g含量：能量≥1550kJ、蛋白质≥85g、脂肪≥0.5g、碳水化合物≥4.5g、钠≥340mg</w:t>
            </w:r>
          </w:p>
        </w:tc>
        <w:tc>
          <w:tcPr>
            <w:tcW w:w="529" w:type="pct"/>
            <w:noWrap w:val="0"/>
            <w:vAlign w:val="center"/>
          </w:tcPr>
          <w:p w14:paraId="406932F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CCB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44D89ED">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27</w:t>
            </w:r>
          </w:p>
        </w:tc>
        <w:tc>
          <w:tcPr>
            <w:tcW w:w="653" w:type="pct"/>
            <w:vMerge w:val="restart"/>
            <w:noWrap w:val="0"/>
            <w:vAlign w:val="center"/>
          </w:tcPr>
          <w:p w14:paraId="4CD57156">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菊粉固体饮料</w:t>
            </w:r>
          </w:p>
        </w:tc>
        <w:tc>
          <w:tcPr>
            <w:tcW w:w="3502" w:type="pct"/>
            <w:noWrap w:val="0"/>
            <w:vAlign w:val="center"/>
          </w:tcPr>
          <w:p w14:paraId="2AC81F1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适用范围：水溶性膳食纤维（菊粉含量高），改善肠道，妇产科推荐，北京协和减重方案品种</w:t>
            </w:r>
          </w:p>
        </w:tc>
        <w:tc>
          <w:tcPr>
            <w:tcW w:w="529" w:type="pct"/>
            <w:noWrap w:val="0"/>
            <w:vAlign w:val="center"/>
          </w:tcPr>
          <w:p w14:paraId="01B1DE3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0E51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24032002">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CB2CD54">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BBD3A7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每100g含量：能量≥750kJ、碳水化合物≥0.5g、钠≥20mg、膳食纤维≥95.0g</w:t>
            </w:r>
          </w:p>
        </w:tc>
        <w:tc>
          <w:tcPr>
            <w:tcW w:w="529" w:type="pct"/>
            <w:noWrap w:val="0"/>
            <w:vAlign w:val="center"/>
          </w:tcPr>
          <w:p w14:paraId="2387765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3FBA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8D03EAE">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28</w:t>
            </w:r>
          </w:p>
        </w:tc>
        <w:tc>
          <w:tcPr>
            <w:tcW w:w="653" w:type="pct"/>
            <w:vMerge w:val="restart"/>
            <w:noWrap w:val="0"/>
            <w:vAlign w:val="center"/>
          </w:tcPr>
          <w:p w14:paraId="25EB7905">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γ-氨基丁酸复合固体饮料</w:t>
            </w:r>
          </w:p>
        </w:tc>
        <w:tc>
          <w:tcPr>
            <w:tcW w:w="3502" w:type="pct"/>
            <w:noWrap w:val="0"/>
            <w:vAlign w:val="center"/>
          </w:tcPr>
          <w:p w14:paraId="6131341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γ-氨基丁酸促进分泌生长激素、改善睡眠、有效促进儿童生长发育。</w:t>
            </w:r>
          </w:p>
        </w:tc>
        <w:tc>
          <w:tcPr>
            <w:tcW w:w="529" w:type="pct"/>
            <w:noWrap w:val="0"/>
            <w:vAlign w:val="center"/>
          </w:tcPr>
          <w:p w14:paraId="66F7D04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047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47D152FF">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4DAC4ED">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474C46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每100g含量：能量≥1300kj、蛋白质≥2g、碳水化合物≥60g、钠≥20mg、膳食纤维≥25g、钙≥630mg、锌≥12mg</w:t>
            </w:r>
          </w:p>
        </w:tc>
        <w:tc>
          <w:tcPr>
            <w:tcW w:w="529" w:type="pct"/>
            <w:noWrap w:val="0"/>
            <w:vAlign w:val="center"/>
          </w:tcPr>
          <w:p w14:paraId="2C1B3E3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DD89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55FE983D">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29</w:t>
            </w:r>
          </w:p>
        </w:tc>
        <w:tc>
          <w:tcPr>
            <w:tcW w:w="653" w:type="pct"/>
            <w:vMerge w:val="restart"/>
            <w:noWrap w:val="0"/>
            <w:vAlign w:val="center"/>
          </w:tcPr>
          <w:p w14:paraId="618AAA2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茯苓固体饮料</w:t>
            </w:r>
          </w:p>
        </w:tc>
        <w:tc>
          <w:tcPr>
            <w:tcW w:w="3502" w:type="pct"/>
            <w:noWrap w:val="0"/>
            <w:vAlign w:val="center"/>
          </w:tcPr>
          <w:p w14:paraId="1527F57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1B8AB1F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1、祛湿方面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2、健脾胃方面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3、宁心安神方面</w:t>
            </w:r>
          </w:p>
        </w:tc>
        <w:tc>
          <w:tcPr>
            <w:tcW w:w="529" w:type="pct"/>
            <w:noWrap w:val="0"/>
            <w:vAlign w:val="center"/>
          </w:tcPr>
          <w:p w14:paraId="0D6B7FE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30D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67DD2959">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114D8D5B">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38270D5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每100g含量：能量≥1200kj、蛋白质≥18g、脂肪≥3.0g、碳水化合物≥35g、钠≥200mg、膳食纤维≥25g</w:t>
            </w:r>
          </w:p>
        </w:tc>
        <w:tc>
          <w:tcPr>
            <w:tcW w:w="529" w:type="pct"/>
            <w:noWrap w:val="0"/>
            <w:vAlign w:val="center"/>
          </w:tcPr>
          <w:p w14:paraId="633A919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EE2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606ABF7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30</w:t>
            </w:r>
          </w:p>
        </w:tc>
        <w:tc>
          <w:tcPr>
            <w:tcW w:w="653" w:type="pct"/>
            <w:vMerge w:val="restart"/>
            <w:noWrap w:val="0"/>
            <w:vAlign w:val="center"/>
          </w:tcPr>
          <w:p w14:paraId="169BB77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代餐营养粉固体饮料</w:t>
            </w:r>
          </w:p>
        </w:tc>
        <w:tc>
          <w:tcPr>
            <w:tcW w:w="3502" w:type="pct"/>
            <w:noWrap w:val="0"/>
            <w:vAlign w:val="center"/>
          </w:tcPr>
          <w:p w14:paraId="32515C1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42B9AC3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1、孕妇和哺乳期妇女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2、青少年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3、年老体弱者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4、长期节食者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5、运动员和健身爱好者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6、普通人群</w:t>
            </w:r>
          </w:p>
        </w:tc>
        <w:tc>
          <w:tcPr>
            <w:tcW w:w="529" w:type="pct"/>
            <w:noWrap w:val="0"/>
            <w:vAlign w:val="center"/>
          </w:tcPr>
          <w:p w14:paraId="668B742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C5A9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71747533">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154A4065">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3780D0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每100g含量：能量≥1100kj、蛋白质≥1g、碳水化合物≥40g、钠≥1650mg、膳食纤维≥40g</w:t>
            </w:r>
          </w:p>
        </w:tc>
        <w:tc>
          <w:tcPr>
            <w:tcW w:w="529" w:type="pct"/>
            <w:noWrap w:val="0"/>
            <w:vAlign w:val="center"/>
          </w:tcPr>
          <w:p w14:paraId="41884F2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5584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BF5187C">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31</w:t>
            </w:r>
          </w:p>
        </w:tc>
        <w:tc>
          <w:tcPr>
            <w:tcW w:w="653" w:type="pct"/>
            <w:vMerge w:val="restart"/>
            <w:noWrap w:val="0"/>
            <w:vAlign w:val="center"/>
          </w:tcPr>
          <w:p w14:paraId="760D65A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欧米伽3鱼油食用油脂</w:t>
            </w:r>
          </w:p>
        </w:tc>
        <w:tc>
          <w:tcPr>
            <w:tcW w:w="3502" w:type="pct"/>
            <w:noWrap w:val="0"/>
            <w:vAlign w:val="center"/>
          </w:tcPr>
          <w:p w14:paraId="525A5FE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3FAF4D7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1、心血管健康方面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2、脑部健康方面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3、眼部健康方面</w:t>
            </w:r>
          </w:p>
        </w:tc>
        <w:tc>
          <w:tcPr>
            <w:tcW w:w="529" w:type="pct"/>
            <w:noWrap w:val="0"/>
            <w:vAlign w:val="center"/>
          </w:tcPr>
          <w:p w14:paraId="7FAB0A0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2555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4999248">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5FF533A4">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6EC4E3D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每100g含量：能量≥3200kj、蛋白质≥15g、脂肪≥70g、碳水化合物≥8.5g、钠≥50mg</w:t>
            </w:r>
          </w:p>
        </w:tc>
        <w:tc>
          <w:tcPr>
            <w:tcW w:w="529" w:type="pct"/>
            <w:noWrap w:val="0"/>
            <w:vAlign w:val="center"/>
          </w:tcPr>
          <w:p w14:paraId="17BCB75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DCF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573AF62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32</w:t>
            </w:r>
          </w:p>
        </w:tc>
        <w:tc>
          <w:tcPr>
            <w:tcW w:w="653" w:type="pct"/>
            <w:vMerge w:val="restart"/>
            <w:noWrap w:val="0"/>
            <w:vAlign w:val="center"/>
          </w:tcPr>
          <w:p w14:paraId="621DF50C">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葡萄糖饮品</w:t>
            </w:r>
          </w:p>
        </w:tc>
        <w:tc>
          <w:tcPr>
            <w:tcW w:w="3502" w:type="pct"/>
            <w:noWrap w:val="0"/>
            <w:vAlign w:val="center"/>
          </w:tcPr>
          <w:p w14:paraId="2B89ECC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适用范围：1、糖尿病患者,2、术后康复人群,3、老年人,4、慢性疾病患者</w:t>
            </w:r>
          </w:p>
        </w:tc>
        <w:tc>
          <w:tcPr>
            <w:tcW w:w="529" w:type="pct"/>
            <w:noWrap w:val="0"/>
            <w:vAlign w:val="center"/>
          </w:tcPr>
          <w:p w14:paraId="3288E9A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739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6FCDF94E">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6D7ACBB">
            <w:pPr>
              <w:keepNext w:val="0"/>
              <w:keepLines w:val="0"/>
              <w:widowControl/>
              <w:suppressLineNumbers w:val="0"/>
              <w:jc w:val="both"/>
              <w:textAlignment w:val="center"/>
              <w:rPr>
                <w:rFonts w:hint="eastAsia" w:ascii="宋体" w:hAnsi="宋体" w:eastAsia="宋体" w:cs="宋体"/>
                <w:sz w:val="24"/>
                <w:szCs w:val="24"/>
              </w:rPr>
            </w:pPr>
          </w:p>
        </w:tc>
        <w:tc>
          <w:tcPr>
            <w:tcW w:w="3502" w:type="pct"/>
            <w:shd w:val="clear" w:color="auto" w:fill="auto"/>
            <w:noWrap w:val="0"/>
            <w:vAlign w:val="center"/>
          </w:tcPr>
          <w:p w14:paraId="465000E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碳水化合物≥20g，钠≥5mg</w:t>
            </w:r>
          </w:p>
        </w:tc>
        <w:tc>
          <w:tcPr>
            <w:tcW w:w="529" w:type="pct"/>
            <w:noWrap w:val="0"/>
            <w:vAlign w:val="center"/>
          </w:tcPr>
          <w:p w14:paraId="19C540C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5D7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511775E8">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33</w:t>
            </w:r>
          </w:p>
        </w:tc>
        <w:tc>
          <w:tcPr>
            <w:tcW w:w="653" w:type="pct"/>
            <w:vMerge w:val="restart"/>
            <w:noWrap w:val="0"/>
            <w:vAlign w:val="center"/>
          </w:tcPr>
          <w:p w14:paraId="68A765A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营养粉</w:t>
            </w:r>
          </w:p>
        </w:tc>
        <w:tc>
          <w:tcPr>
            <w:tcW w:w="3502" w:type="pct"/>
            <w:noWrap w:val="0"/>
            <w:vAlign w:val="center"/>
          </w:tcPr>
          <w:p w14:paraId="3C84B63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1A64AB5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1、营养摄入不足人群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2、特定疾病状态人群（肠道吸收功能受损）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3、术后康复人群</w:t>
            </w:r>
          </w:p>
        </w:tc>
        <w:tc>
          <w:tcPr>
            <w:tcW w:w="529" w:type="pct"/>
            <w:noWrap w:val="0"/>
            <w:vAlign w:val="center"/>
          </w:tcPr>
          <w:p w14:paraId="1254CB1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67C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8F67522">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683A9939">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6B83021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每100g蛋白质含量≥20g,脂肪含量≥10g，碳水化合≥50g</w:t>
            </w:r>
          </w:p>
        </w:tc>
        <w:tc>
          <w:tcPr>
            <w:tcW w:w="529" w:type="pct"/>
            <w:noWrap w:val="0"/>
            <w:vAlign w:val="center"/>
          </w:tcPr>
          <w:p w14:paraId="1A630A5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74B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E3762B4">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34</w:t>
            </w:r>
          </w:p>
        </w:tc>
        <w:tc>
          <w:tcPr>
            <w:tcW w:w="653" w:type="pct"/>
            <w:vMerge w:val="restart"/>
            <w:noWrap w:val="0"/>
            <w:vAlign w:val="center"/>
          </w:tcPr>
          <w:p w14:paraId="470F5BE4">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液体膳食纤维</w:t>
            </w:r>
          </w:p>
        </w:tc>
        <w:tc>
          <w:tcPr>
            <w:tcW w:w="3502" w:type="pct"/>
            <w:noWrap w:val="0"/>
            <w:vAlign w:val="center"/>
          </w:tcPr>
          <w:p w14:paraId="720BC2C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7529B0C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1、肠胃功能紊乱者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2、消化吸收障碍者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3、营养不良风险者</w:t>
            </w:r>
          </w:p>
        </w:tc>
        <w:tc>
          <w:tcPr>
            <w:tcW w:w="529" w:type="pct"/>
            <w:noWrap w:val="0"/>
            <w:vAlign w:val="center"/>
          </w:tcPr>
          <w:p w14:paraId="61646CA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396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42F0789">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341B65A1">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2CD9DA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碳水化合物≥2g，膳食纤维≥40g。</w:t>
            </w:r>
          </w:p>
        </w:tc>
        <w:tc>
          <w:tcPr>
            <w:tcW w:w="529" w:type="pct"/>
            <w:noWrap w:val="0"/>
            <w:vAlign w:val="center"/>
          </w:tcPr>
          <w:p w14:paraId="59BA884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B45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D43391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35</w:t>
            </w:r>
          </w:p>
        </w:tc>
        <w:tc>
          <w:tcPr>
            <w:tcW w:w="653" w:type="pct"/>
            <w:vMerge w:val="restart"/>
            <w:noWrap w:val="0"/>
            <w:vAlign w:val="center"/>
          </w:tcPr>
          <w:p w14:paraId="36662E7C">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果胶+益生元组件</w:t>
            </w:r>
          </w:p>
        </w:tc>
        <w:tc>
          <w:tcPr>
            <w:tcW w:w="3502" w:type="pct"/>
            <w:noWrap w:val="0"/>
            <w:vAlign w:val="center"/>
          </w:tcPr>
          <w:p w14:paraId="21EEB67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54E7D71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1、肠胃功能紊乱者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2、消化吸收障碍者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3、营养不良风险者</w:t>
            </w:r>
          </w:p>
        </w:tc>
        <w:tc>
          <w:tcPr>
            <w:tcW w:w="529" w:type="pct"/>
            <w:noWrap w:val="0"/>
            <w:vAlign w:val="center"/>
          </w:tcPr>
          <w:p w14:paraId="3305421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DCC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2C12F2AA">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47A037F">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9A3AB0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每100g蛋白质含量≥3g,碳水化合≥75g</w:t>
            </w:r>
          </w:p>
        </w:tc>
        <w:tc>
          <w:tcPr>
            <w:tcW w:w="529" w:type="pct"/>
            <w:noWrap w:val="0"/>
            <w:vAlign w:val="center"/>
          </w:tcPr>
          <w:p w14:paraId="343F3CD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0A3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577AB7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36</w:t>
            </w:r>
          </w:p>
        </w:tc>
        <w:tc>
          <w:tcPr>
            <w:tcW w:w="653" w:type="pct"/>
            <w:vMerge w:val="restart"/>
            <w:noWrap w:val="0"/>
            <w:vAlign w:val="center"/>
          </w:tcPr>
          <w:p w14:paraId="62ADF34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营养配方粉</w:t>
            </w:r>
          </w:p>
        </w:tc>
        <w:tc>
          <w:tcPr>
            <w:tcW w:w="3502" w:type="pct"/>
            <w:noWrap w:val="0"/>
            <w:vAlign w:val="center"/>
          </w:tcPr>
          <w:p w14:paraId="3AAD292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w:t>
            </w:r>
          </w:p>
          <w:p w14:paraId="56EB607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1、术后康复者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2、老年人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3、慢性疾病患者</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4、营养不良风险者</w:t>
            </w:r>
          </w:p>
        </w:tc>
        <w:tc>
          <w:tcPr>
            <w:tcW w:w="529" w:type="pct"/>
            <w:noWrap w:val="0"/>
            <w:vAlign w:val="center"/>
          </w:tcPr>
          <w:p w14:paraId="3FA3E83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2FC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22B5EF5">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77E9C4E0">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448477C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每100g蛋白质含量≥20g,脂肪含量≥23g，碳水化合≥49g,三大营养素供能比:18%：42%：40%</w:t>
            </w:r>
          </w:p>
        </w:tc>
        <w:tc>
          <w:tcPr>
            <w:tcW w:w="529" w:type="pct"/>
            <w:noWrap w:val="0"/>
            <w:vAlign w:val="center"/>
          </w:tcPr>
          <w:p w14:paraId="533F208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3EC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14CCA5F">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37</w:t>
            </w:r>
          </w:p>
        </w:tc>
        <w:tc>
          <w:tcPr>
            <w:tcW w:w="653" w:type="pct"/>
            <w:vMerge w:val="restart"/>
            <w:noWrap w:val="0"/>
            <w:vAlign w:val="center"/>
          </w:tcPr>
          <w:p w14:paraId="5B7C91C8">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分离乳清蛋白粉</w:t>
            </w:r>
          </w:p>
        </w:tc>
        <w:tc>
          <w:tcPr>
            <w:tcW w:w="3502" w:type="pct"/>
            <w:noWrap w:val="0"/>
            <w:vAlign w:val="center"/>
          </w:tcPr>
          <w:p w14:paraId="49625FB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适用范围：适合补充蛋白质的人群</w:t>
            </w:r>
          </w:p>
        </w:tc>
        <w:tc>
          <w:tcPr>
            <w:tcW w:w="529" w:type="pct"/>
            <w:noWrap w:val="0"/>
            <w:vAlign w:val="center"/>
          </w:tcPr>
          <w:p w14:paraId="1D4B352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3B3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4F6CB1E">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3D99508A">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37A9904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≥1500kJ</w:t>
            </w:r>
          </w:p>
          <w:p w14:paraId="4E10C18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蛋白质≥ 80g</w:t>
            </w:r>
          </w:p>
          <w:p w14:paraId="20F2C56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钠≤300mg</w:t>
            </w:r>
          </w:p>
        </w:tc>
        <w:tc>
          <w:tcPr>
            <w:tcW w:w="529" w:type="pct"/>
            <w:noWrap w:val="0"/>
            <w:vAlign w:val="center"/>
          </w:tcPr>
          <w:p w14:paraId="727D639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2F00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F371D3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38</w:t>
            </w:r>
          </w:p>
        </w:tc>
        <w:tc>
          <w:tcPr>
            <w:tcW w:w="653" w:type="pct"/>
            <w:vMerge w:val="restart"/>
            <w:noWrap w:val="0"/>
            <w:vAlign w:val="center"/>
          </w:tcPr>
          <w:p w14:paraId="559363B2">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益生菌多肽蛋白营养粉</w:t>
            </w:r>
          </w:p>
        </w:tc>
        <w:tc>
          <w:tcPr>
            <w:tcW w:w="3502" w:type="pct"/>
            <w:noWrap w:val="0"/>
            <w:vAlign w:val="center"/>
          </w:tcPr>
          <w:p w14:paraId="21EAF38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适用范围：需要补充支链氨基酸、多肽蛋白等营养素的人群</w:t>
            </w:r>
          </w:p>
        </w:tc>
        <w:tc>
          <w:tcPr>
            <w:tcW w:w="529" w:type="pct"/>
            <w:noWrap w:val="0"/>
            <w:vAlign w:val="center"/>
          </w:tcPr>
          <w:p w14:paraId="7B5A1A8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6AE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716F6A1">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13E3C123">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30F1E43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 ≥1800kJ、蛋白质 ≥20g、脂肪 ≥10g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多不饱和脂肪酸 ≥4g、碳水化合物 ≥50g、膳食纤维 ≥3g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钠 ≥130mg、维生素A ≥490ug、维生素D ≥4μg、维生素E ≥10mg 、维生素B1≥ 1mg、维生素B2 ≥1mg、维生素B6 ≥1mg、维生素B12 ≥2μg、维生素C ≥140mg、烟酸 ≥10mg、叶酸 ≥170μg、泛酸 ≥4mg、磷 ≥250mg、镁 ≥170mg、钙 ≥350mg、铁≥ 15mg、锌 ≥9mg</w:t>
            </w:r>
          </w:p>
        </w:tc>
        <w:tc>
          <w:tcPr>
            <w:tcW w:w="529" w:type="pct"/>
            <w:noWrap w:val="0"/>
            <w:vAlign w:val="center"/>
          </w:tcPr>
          <w:p w14:paraId="79A6232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742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9A5E61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39</w:t>
            </w:r>
          </w:p>
        </w:tc>
        <w:tc>
          <w:tcPr>
            <w:tcW w:w="653" w:type="pct"/>
            <w:vMerge w:val="restart"/>
            <w:noWrap w:val="0"/>
            <w:vAlign w:val="center"/>
          </w:tcPr>
          <w:p w14:paraId="45540C8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麦芽糊精果糖固体饮料</w:t>
            </w:r>
          </w:p>
        </w:tc>
        <w:tc>
          <w:tcPr>
            <w:tcW w:w="3502" w:type="pct"/>
            <w:noWrap w:val="0"/>
            <w:vAlign w:val="center"/>
          </w:tcPr>
          <w:p w14:paraId="14FF823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适用于外科手术前肠道准备</w:t>
            </w:r>
          </w:p>
        </w:tc>
        <w:tc>
          <w:tcPr>
            <w:tcW w:w="529" w:type="pct"/>
            <w:noWrap w:val="0"/>
            <w:vAlign w:val="center"/>
          </w:tcPr>
          <w:p w14:paraId="1673B57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8D6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60190B54">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1BDCCD41">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6EB75B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能量≥1500KJ、碳水化合物≥90g</w:t>
            </w:r>
          </w:p>
        </w:tc>
        <w:tc>
          <w:tcPr>
            <w:tcW w:w="529" w:type="pct"/>
            <w:noWrap w:val="0"/>
            <w:vAlign w:val="center"/>
          </w:tcPr>
          <w:p w14:paraId="0DFDA67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1C79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3E8B3C6">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40</w:t>
            </w:r>
          </w:p>
        </w:tc>
        <w:tc>
          <w:tcPr>
            <w:tcW w:w="653" w:type="pct"/>
            <w:vMerge w:val="restart"/>
            <w:noWrap w:val="0"/>
            <w:vAlign w:val="center"/>
          </w:tcPr>
          <w:p w14:paraId="5DE16326">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菊粉固体饮料</w:t>
            </w:r>
          </w:p>
        </w:tc>
        <w:tc>
          <w:tcPr>
            <w:tcW w:w="3502" w:type="pct"/>
            <w:noWrap w:val="0"/>
            <w:vAlign w:val="center"/>
          </w:tcPr>
          <w:p w14:paraId="4C793AE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适用范围：便秘等需要额外添加膳食纤维的患者</w:t>
            </w:r>
          </w:p>
        </w:tc>
        <w:tc>
          <w:tcPr>
            <w:tcW w:w="529" w:type="pct"/>
            <w:noWrap w:val="0"/>
            <w:vAlign w:val="center"/>
          </w:tcPr>
          <w:p w14:paraId="0BB9E8C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BE0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AC17F0B">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B1D1F18">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6BA9E8D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膳食纤维≥ 90g</w:t>
            </w:r>
          </w:p>
        </w:tc>
        <w:tc>
          <w:tcPr>
            <w:tcW w:w="529" w:type="pct"/>
            <w:noWrap w:val="0"/>
            <w:vAlign w:val="center"/>
          </w:tcPr>
          <w:p w14:paraId="241EBFE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C70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65ED403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41</w:t>
            </w:r>
          </w:p>
        </w:tc>
        <w:tc>
          <w:tcPr>
            <w:tcW w:w="653" w:type="pct"/>
            <w:vMerge w:val="restart"/>
            <w:noWrap w:val="0"/>
            <w:vAlign w:val="center"/>
          </w:tcPr>
          <w:p w14:paraId="51E537B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益生菌粉</w:t>
            </w:r>
          </w:p>
        </w:tc>
        <w:tc>
          <w:tcPr>
            <w:tcW w:w="3502" w:type="pct"/>
            <w:noWrap w:val="0"/>
            <w:vAlign w:val="center"/>
          </w:tcPr>
          <w:p w14:paraId="57A7E6F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适用范围：腹泻、便秘及需要调节肠道菌群平衡的患者；低能量，糖尿病人可食用，不添加香精，含膳食纤维/益生元为佳。</w:t>
            </w:r>
          </w:p>
        </w:tc>
        <w:tc>
          <w:tcPr>
            <w:tcW w:w="529" w:type="pct"/>
            <w:noWrap w:val="0"/>
            <w:vAlign w:val="center"/>
          </w:tcPr>
          <w:p w14:paraId="733B562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423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1C7138C8">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4089EE80">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3A91F3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能量≤300KJ </w:t>
            </w:r>
          </w:p>
          <w:p w14:paraId="209EE46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添加量（活菌型）≥100亿CFU/袋</w:t>
            </w:r>
          </w:p>
        </w:tc>
        <w:tc>
          <w:tcPr>
            <w:tcW w:w="529" w:type="pct"/>
            <w:noWrap w:val="0"/>
            <w:vAlign w:val="center"/>
          </w:tcPr>
          <w:p w14:paraId="460AE6B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C74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687149F4">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42</w:t>
            </w:r>
          </w:p>
        </w:tc>
        <w:tc>
          <w:tcPr>
            <w:tcW w:w="653" w:type="pct"/>
            <w:vMerge w:val="restart"/>
            <w:noWrap w:val="0"/>
            <w:vAlign w:val="center"/>
          </w:tcPr>
          <w:p w14:paraId="3D6F5FBC">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电解质粉</w:t>
            </w:r>
          </w:p>
        </w:tc>
        <w:tc>
          <w:tcPr>
            <w:tcW w:w="3502" w:type="pct"/>
            <w:noWrap w:val="0"/>
            <w:vAlign w:val="center"/>
          </w:tcPr>
          <w:p w14:paraId="42F6387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适用范围：因腹泻等原因导致轻至中度脱水需要补充水及电解质的人群</w:t>
            </w:r>
          </w:p>
        </w:tc>
        <w:tc>
          <w:tcPr>
            <w:tcW w:w="529" w:type="pct"/>
            <w:noWrap w:val="0"/>
            <w:vAlign w:val="center"/>
          </w:tcPr>
          <w:p w14:paraId="10CC083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234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1AB55F15">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7170E78">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2DAE15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≥1500kJ、碳水化合物 ≥80g，钠 ≥1000mg ，钾≥400mg，镁≥90mg</w:t>
            </w:r>
          </w:p>
        </w:tc>
        <w:tc>
          <w:tcPr>
            <w:tcW w:w="529" w:type="pct"/>
            <w:noWrap w:val="0"/>
            <w:vAlign w:val="center"/>
          </w:tcPr>
          <w:p w14:paraId="518B534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901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2BF4B455">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43</w:t>
            </w:r>
          </w:p>
        </w:tc>
        <w:tc>
          <w:tcPr>
            <w:tcW w:w="653" w:type="pct"/>
            <w:vMerge w:val="restart"/>
            <w:noWrap w:val="0"/>
            <w:vAlign w:val="center"/>
          </w:tcPr>
          <w:p w14:paraId="20A60D43">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匀浆膳固体饮料</w:t>
            </w:r>
          </w:p>
        </w:tc>
        <w:tc>
          <w:tcPr>
            <w:tcW w:w="3502" w:type="pct"/>
            <w:noWrap w:val="0"/>
            <w:vAlign w:val="center"/>
          </w:tcPr>
          <w:p w14:paraId="0443414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适用范围：适用于患有特殊疾病或营养需求的人群</w:t>
            </w:r>
          </w:p>
        </w:tc>
        <w:tc>
          <w:tcPr>
            <w:tcW w:w="529" w:type="pct"/>
            <w:noWrap w:val="0"/>
            <w:vAlign w:val="center"/>
          </w:tcPr>
          <w:p w14:paraId="73472A8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CB84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509D8653">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6571731D">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7206A5E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≥1700kJ</w:t>
            </w:r>
          </w:p>
          <w:p w14:paraId="0DA11ED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蛋白质 ≥18.0g </w:t>
            </w:r>
          </w:p>
          <w:p w14:paraId="2188BD2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脂肪 ≤15.0g </w:t>
            </w:r>
          </w:p>
          <w:p w14:paraId="0FF64C5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碳水化合物 ≥50g </w:t>
            </w:r>
          </w:p>
        </w:tc>
        <w:tc>
          <w:tcPr>
            <w:tcW w:w="529" w:type="pct"/>
            <w:noWrap w:val="0"/>
            <w:vAlign w:val="center"/>
          </w:tcPr>
          <w:p w14:paraId="5615C6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67A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61B07122">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44</w:t>
            </w:r>
          </w:p>
        </w:tc>
        <w:tc>
          <w:tcPr>
            <w:tcW w:w="653" w:type="pct"/>
            <w:vMerge w:val="restart"/>
            <w:noWrap w:val="0"/>
            <w:vAlign w:val="center"/>
          </w:tcPr>
          <w:p w14:paraId="5FDFDE22">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中链甘油三酯固体饮料</w:t>
            </w:r>
          </w:p>
        </w:tc>
        <w:tc>
          <w:tcPr>
            <w:tcW w:w="3502" w:type="pct"/>
            <w:noWrap w:val="0"/>
            <w:vAlign w:val="center"/>
          </w:tcPr>
          <w:p w14:paraId="1068B2D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适用范围：适合消化不良、肠道吸收不良的人群；适合患有肝胆疾病、胰腺疾病等影响脂肪消化吸收的人群；适合需要控制体重的人群。</w:t>
            </w:r>
          </w:p>
        </w:tc>
        <w:tc>
          <w:tcPr>
            <w:tcW w:w="529" w:type="pct"/>
            <w:noWrap w:val="0"/>
            <w:vAlign w:val="center"/>
          </w:tcPr>
          <w:p w14:paraId="7C51EEC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F62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CEA40C5">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52C21F19">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688BF9F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能量 ≥2400kJ </w:t>
            </w:r>
          </w:p>
          <w:p w14:paraId="0556CA8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脂肪 ≥45g </w:t>
            </w:r>
          </w:p>
        </w:tc>
        <w:tc>
          <w:tcPr>
            <w:tcW w:w="529" w:type="pct"/>
            <w:noWrap w:val="0"/>
            <w:vAlign w:val="center"/>
          </w:tcPr>
          <w:p w14:paraId="084CE70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F56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01ACB73A">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45</w:t>
            </w:r>
          </w:p>
        </w:tc>
        <w:tc>
          <w:tcPr>
            <w:tcW w:w="653" w:type="pct"/>
            <w:vMerge w:val="restart"/>
            <w:noWrap w:val="0"/>
            <w:vAlign w:val="center"/>
          </w:tcPr>
          <w:p w14:paraId="19DF587B">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支链氨基酸粉</w:t>
            </w:r>
          </w:p>
        </w:tc>
        <w:tc>
          <w:tcPr>
            <w:tcW w:w="3502" w:type="pct"/>
            <w:noWrap w:val="0"/>
            <w:vAlign w:val="center"/>
          </w:tcPr>
          <w:p w14:paraId="3D38467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适用范围：适用于肝病人群使用的支链氨基酸型营养，添加益生菌为佳</w:t>
            </w:r>
          </w:p>
        </w:tc>
        <w:tc>
          <w:tcPr>
            <w:tcW w:w="529" w:type="pct"/>
            <w:noWrap w:val="0"/>
            <w:vAlign w:val="center"/>
          </w:tcPr>
          <w:p w14:paraId="33A8E0D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BB75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1C1F765E">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79F1B6EF">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09A5AA1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 ≥1700kJ ，蛋白质≤24g（含丰富支链氨基酸），脂肪≤15g（多不饱和脂肪酸≥3g ），碳水化合物≥50.0g，膳食纤维≥3g，含丰富的维生素矿物质</w:t>
            </w:r>
          </w:p>
        </w:tc>
        <w:tc>
          <w:tcPr>
            <w:tcW w:w="529" w:type="pct"/>
            <w:noWrap w:val="0"/>
            <w:vAlign w:val="center"/>
          </w:tcPr>
          <w:p w14:paraId="7E3CD20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4B29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4BCE0B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46</w:t>
            </w:r>
          </w:p>
        </w:tc>
        <w:tc>
          <w:tcPr>
            <w:tcW w:w="653" w:type="pct"/>
            <w:vMerge w:val="restart"/>
            <w:noWrap w:val="0"/>
            <w:vAlign w:val="center"/>
          </w:tcPr>
          <w:p w14:paraId="570B97D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分离乳清蛋白组件</w:t>
            </w:r>
          </w:p>
        </w:tc>
        <w:tc>
          <w:tcPr>
            <w:tcW w:w="3502" w:type="pct"/>
            <w:noWrap w:val="0"/>
            <w:vAlign w:val="center"/>
          </w:tcPr>
          <w:p w14:paraId="0CE6608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本品作为优质蛋白质营养补充剂，适用于蛋白质营养需求大，蛋白质摄入不足，以及蛋白质消耗、丢失严重人群，也适用于为营养不良人群提供蛋白质的营养补充</w:t>
            </w:r>
          </w:p>
        </w:tc>
        <w:tc>
          <w:tcPr>
            <w:tcW w:w="529" w:type="pct"/>
            <w:noWrap w:val="0"/>
            <w:vAlign w:val="center"/>
          </w:tcPr>
          <w:p w14:paraId="3A15CC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DE4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2FD4AAF0">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6C9370D5">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2CE0F7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每100g含量：能量≥1550kJ、脂肪≥0.8g、钠≥600mg、含蛋白质≥90g</w:t>
            </w:r>
          </w:p>
        </w:tc>
        <w:tc>
          <w:tcPr>
            <w:tcW w:w="529" w:type="pct"/>
            <w:noWrap w:val="0"/>
            <w:vAlign w:val="center"/>
          </w:tcPr>
          <w:p w14:paraId="769341D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A78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69497C96">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47</w:t>
            </w:r>
          </w:p>
        </w:tc>
        <w:tc>
          <w:tcPr>
            <w:tcW w:w="653" w:type="pct"/>
            <w:vMerge w:val="restart"/>
            <w:noWrap w:val="0"/>
            <w:vAlign w:val="center"/>
          </w:tcPr>
          <w:p w14:paraId="01246F2B">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水解乳清蛋白固体饮料</w:t>
            </w:r>
          </w:p>
        </w:tc>
        <w:tc>
          <w:tcPr>
            <w:tcW w:w="3502" w:type="pct"/>
            <w:noWrap w:val="0"/>
            <w:vAlign w:val="center"/>
          </w:tcPr>
          <w:p w14:paraId="4C102F9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适用于肠道功能紊乱、消化吸收不良、低蛋白血症等人群。</w:t>
            </w:r>
          </w:p>
          <w:p w14:paraId="01BA67B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也适用于手术后 创伤后、感染后等需要补充蛋白质的人群。</w:t>
            </w:r>
          </w:p>
          <w:p w14:paraId="7C4B5D6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以及孕妇、哺乳期妇女以及儿童，特别是生长发育阶段的儿童</w:t>
            </w:r>
          </w:p>
        </w:tc>
        <w:tc>
          <w:tcPr>
            <w:tcW w:w="529" w:type="pct"/>
            <w:noWrap w:val="0"/>
            <w:vAlign w:val="center"/>
          </w:tcPr>
          <w:p w14:paraId="08E5B3E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738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7EF0BAB3">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5AF823D8">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D8CFB3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能量≥ 1700k </w:t>
            </w:r>
          </w:p>
          <w:p w14:paraId="7F7F823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蛋白质 ≥75.0g </w:t>
            </w:r>
          </w:p>
          <w:p w14:paraId="542D2C1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脂肪 ≤6.0g </w:t>
            </w:r>
          </w:p>
          <w:p w14:paraId="4865311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碳水化合物≤15.0g </w:t>
            </w:r>
          </w:p>
        </w:tc>
        <w:tc>
          <w:tcPr>
            <w:tcW w:w="529" w:type="pct"/>
            <w:noWrap w:val="0"/>
            <w:vAlign w:val="center"/>
          </w:tcPr>
          <w:p w14:paraId="4DE93C3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6C1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C62F422">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48</w:t>
            </w:r>
          </w:p>
        </w:tc>
        <w:tc>
          <w:tcPr>
            <w:tcW w:w="653" w:type="pct"/>
            <w:vMerge w:val="restart"/>
            <w:noWrap w:val="0"/>
            <w:vAlign w:val="center"/>
          </w:tcPr>
          <w:p w14:paraId="3AC91D8B">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强化营养素代餐粉</w:t>
            </w:r>
          </w:p>
        </w:tc>
        <w:tc>
          <w:tcPr>
            <w:tcW w:w="3502" w:type="pct"/>
            <w:noWrap w:val="0"/>
            <w:vAlign w:val="center"/>
          </w:tcPr>
          <w:p w14:paraId="1B31586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本产品可以为减重及减重术后人群提供所需的全部营养。乳糖含量低，合适乳糖不耐受人去减重期食用</w:t>
            </w:r>
          </w:p>
        </w:tc>
        <w:tc>
          <w:tcPr>
            <w:tcW w:w="529" w:type="pct"/>
            <w:noWrap w:val="0"/>
            <w:vAlign w:val="center"/>
          </w:tcPr>
          <w:p w14:paraId="270F6A5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89C2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37E8CED">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12CB312B">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7814B81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每100g含能量≥1550kj,蛋白质≥30g,脂肪≥6.5g,碳水化合物≥40g，膳食纤维≥7.0g,钠≥480mg,铁≥9mg,锌≥8.5mg。</w:t>
            </w:r>
          </w:p>
        </w:tc>
        <w:tc>
          <w:tcPr>
            <w:tcW w:w="529" w:type="pct"/>
            <w:noWrap w:val="0"/>
            <w:vAlign w:val="center"/>
          </w:tcPr>
          <w:p w14:paraId="7BA0AEA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C1A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574129DC">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49</w:t>
            </w:r>
          </w:p>
        </w:tc>
        <w:tc>
          <w:tcPr>
            <w:tcW w:w="653" w:type="pct"/>
            <w:vMerge w:val="restart"/>
            <w:noWrap w:val="0"/>
            <w:vAlign w:val="center"/>
          </w:tcPr>
          <w:p w14:paraId="69B0796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心肌肽组件</w:t>
            </w:r>
          </w:p>
        </w:tc>
        <w:tc>
          <w:tcPr>
            <w:tcW w:w="3502" w:type="pct"/>
            <w:noWrap w:val="0"/>
            <w:vAlign w:val="center"/>
          </w:tcPr>
          <w:p w14:paraId="7A31AD6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适用于心脏手术人群、非手术性心脏疾病、供满足机体组织生长和修复需求的人群食用。</w:t>
            </w:r>
          </w:p>
        </w:tc>
        <w:tc>
          <w:tcPr>
            <w:tcW w:w="529" w:type="pct"/>
            <w:noWrap w:val="0"/>
            <w:vAlign w:val="center"/>
          </w:tcPr>
          <w:p w14:paraId="6593D1C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3F5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66C749B">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4F1BBE8">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375F5EE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每100g含量：能量≥1600kJ、蛋白质≥5g、碳水化合物≥8.5g、钠≥300mg、牛磺酸≥4.8g</w:t>
            </w:r>
          </w:p>
        </w:tc>
        <w:tc>
          <w:tcPr>
            <w:tcW w:w="529" w:type="pct"/>
            <w:noWrap w:val="0"/>
            <w:vAlign w:val="center"/>
          </w:tcPr>
          <w:p w14:paraId="455FBE0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E838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56C5946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50</w:t>
            </w:r>
          </w:p>
        </w:tc>
        <w:tc>
          <w:tcPr>
            <w:tcW w:w="653" w:type="pct"/>
            <w:vMerge w:val="restart"/>
            <w:noWrap w:val="0"/>
            <w:vAlign w:val="center"/>
          </w:tcPr>
          <w:p w14:paraId="506AED21">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分离乳清蛋白粉（特殊膳食）</w:t>
            </w:r>
          </w:p>
        </w:tc>
        <w:tc>
          <w:tcPr>
            <w:tcW w:w="3502" w:type="pct"/>
            <w:noWrap w:val="0"/>
            <w:vAlign w:val="center"/>
          </w:tcPr>
          <w:p w14:paraId="2260CBE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本品作为优质蛋白质营养补充剂，适用于蛋白质营养需求大，蛋白质摄入不足，以及蛋白质消耗、丢失严重人群，也适用于为营养不良人群提供蛋白质的营养补充</w:t>
            </w:r>
          </w:p>
        </w:tc>
        <w:tc>
          <w:tcPr>
            <w:tcW w:w="529" w:type="pct"/>
            <w:noWrap w:val="0"/>
            <w:vAlign w:val="center"/>
          </w:tcPr>
          <w:p w14:paraId="717CF80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49F8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C29D31C">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CE0EA5A">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AFF640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主要营养成分及含量(每100克)：            </w:t>
            </w:r>
          </w:p>
          <w:p w14:paraId="2445E1F8">
            <w:pPr>
              <w:keepNext w:val="0"/>
              <w:keepLines w:val="0"/>
              <w:widowControl/>
              <w:suppressLineNumbers w:val="0"/>
              <w:jc w:val="both"/>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蛋白质≥90克（湿基计）≥95克（干基计）；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能量：≥1500KJ：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脂肪含量≥0.8g，钠≥600mg                                                   亮</w:t>
            </w:r>
            <w:r>
              <w:rPr>
                <w:rFonts w:hint="eastAsia" w:ascii="宋体" w:hAnsi="宋体" w:eastAsia="宋体" w:cs="宋体"/>
                <w:i w:val="0"/>
                <w:iCs w:val="0"/>
                <w:color w:val="000000"/>
                <w:kern w:val="0"/>
                <w:sz w:val="24"/>
                <w:szCs w:val="24"/>
                <w:highlight w:val="none"/>
                <w:u w:val="none"/>
                <w:lang w:val="en-US" w:eastAsia="zh-CN" w:bidi="ar"/>
              </w:rPr>
              <w:t xml:space="preserve">氨酸含量≥11克  </w:t>
            </w:r>
          </w:p>
          <w:p w14:paraId="3772DA1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磷含量：≤75mg/100g;</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钾含量：≤80mg/100g;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聚酯光膜1.2个丝，纯铝0.7个丝和PE7.0个丝                      10g/袋*20袋/盒（200g/盒），巴氏消毒高温短时杀菌：乳清液在至少161F（72℃）的环境下进行至少15秒的巴氏消毒</w:t>
            </w:r>
          </w:p>
        </w:tc>
        <w:tc>
          <w:tcPr>
            <w:tcW w:w="529" w:type="pct"/>
            <w:noWrap w:val="0"/>
            <w:vAlign w:val="center"/>
          </w:tcPr>
          <w:p w14:paraId="467AF2C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0D4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50983E2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51</w:t>
            </w:r>
          </w:p>
        </w:tc>
        <w:tc>
          <w:tcPr>
            <w:tcW w:w="653" w:type="pct"/>
            <w:vMerge w:val="restart"/>
            <w:noWrap w:val="0"/>
            <w:vAlign w:val="center"/>
          </w:tcPr>
          <w:p w14:paraId="60F6B0EF">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强化营养素代餐粉</w:t>
            </w:r>
          </w:p>
        </w:tc>
        <w:tc>
          <w:tcPr>
            <w:tcW w:w="3502" w:type="pct"/>
            <w:noWrap w:val="0"/>
            <w:vAlign w:val="center"/>
          </w:tcPr>
          <w:p w14:paraId="250B5A6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本产品可以为减重及减重术后人群提供所需的全部营养。乳糖含量低，合适乳糖不耐受人去减重期食用</w:t>
            </w:r>
          </w:p>
        </w:tc>
        <w:tc>
          <w:tcPr>
            <w:tcW w:w="529" w:type="pct"/>
            <w:noWrap w:val="0"/>
            <w:vAlign w:val="center"/>
          </w:tcPr>
          <w:p w14:paraId="0B0FBE2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BF6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54CA53F7">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5680E5F0">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7AB495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每100g含能量≥1550kj,蛋白质≥30g,脂肪≥6.5g,碳水化合物≥40g，膳食纤维≥7.0g,钠≥480mg,铁≥9mg,锌≥8.5mg。</w:t>
            </w:r>
          </w:p>
        </w:tc>
        <w:tc>
          <w:tcPr>
            <w:tcW w:w="529" w:type="pct"/>
            <w:noWrap w:val="0"/>
            <w:vAlign w:val="center"/>
          </w:tcPr>
          <w:p w14:paraId="2201814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6E4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5A9C5F24">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52</w:t>
            </w:r>
          </w:p>
        </w:tc>
        <w:tc>
          <w:tcPr>
            <w:tcW w:w="653" w:type="pct"/>
            <w:vMerge w:val="restart"/>
            <w:noWrap w:val="0"/>
            <w:vAlign w:val="center"/>
          </w:tcPr>
          <w:p w14:paraId="0A5683D5">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心肌肽</w:t>
            </w:r>
          </w:p>
        </w:tc>
        <w:tc>
          <w:tcPr>
            <w:tcW w:w="3502" w:type="pct"/>
            <w:noWrap w:val="0"/>
            <w:vAlign w:val="center"/>
          </w:tcPr>
          <w:p w14:paraId="598E537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适用于心脏手术人群、非手术性心脏疾病、供满足机体组织生长和修复需求的人群食用。</w:t>
            </w:r>
          </w:p>
        </w:tc>
        <w:tc>
          <w:tcPr>
            <w:tcW w:w="529" w:type="pct"/>
            <w:noWrap w:val="0"/>
            <w:vAlign w:val="center"/>
          </w:tcPr>
          <w:p w14:paraId="7C53658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6F1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253AF59A">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0353F8EF">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DCA12D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能量：≥1620kJ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蛋白质：≥86g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碳水化合物：≥8g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钠：≥300mg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牛磺酸：≥4g</w:t>
            </w:r>
          </w:p>
        </w:tc>
        <w:tc>
          <w:tcPr>
            <w:tcW w:w="529" w:type="pct"/>
            <w:noWrap w:val="0"/>
            <w:vAlign w:val="center"/>
          </w:tcPr>
          <w:p w14:paraId="102E7DC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78E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7E9755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53</w:t>
            </w:r>
          </w:p>
        </w:tc>
        <w:tc>
          <w:tcPr>
            <w:tcW w:w="653" w:type="pct"/>
            <w:vMerge w:val="restart"/>
            <w:noWrap w:val="0"/>
            <w:vAlign w:val="center"/>
          </w:tcPr>
          <w:p w14:paraId="54AD4208">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胸腺白蛋白肽葡聚糖特殊膳食</w:t>
            </w:r>
          </w:p>
        </w:tc>
        <w:tc>
          <w:tcPr>
            <w:tcW w:w="3502" w:type="pct"/>
            <w:noWrap w:val="0"/>
            <w:vAlign w:val="center"/>
          </w:tcPr>
          <w:p w14:paraId="1E02AC6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适用于免疫力较低的人、老年人、需要调节免疫力的人、免疫系统较弱、易疲劳、记忆力减退、免疫力下降或处于恢复期的人群食用。</w:t>
            </w:r>
          </w:p>
        </w:tc>
        <w:tc>
          <w:tcPr>
            <w:tcW w:w="529" w:type="pct"/>
            <w:noWrap w:val="0"/>
            <w:vAlign w:val="center"/>
          </w:tcPr>
          <w:p w14:paraId="79B1F12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862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7630F2EF">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61ED5342">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2B9784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营养成分（每100g）：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能量：≥1550kJ</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蛋白质≥90.0g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碳水化合物≥2.5g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钠≥330mg</w:t>
            </w:r>
          </w:p>
        </w:tc>
        <w:tc>
          <w:tcPr>
            <w:tcW w:w="529" w:type="pct"/>
            <w:noWrap w:val="0"/>
            <w:vAlign w:val="center"/>
          </w:tcPr>
          <w:p w14:paraId="2C85477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D26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7E43D3B">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54</w:t>
            </w:r>
          </w:p>
        </w:tc>
        <w:tc>
          <w:tcPr>
            <w:tcW w:w="653" w:type="pct"/>
            <w:vMerge w:val="restart"/>
            <w:noWrap w:val="0"/>
            <w:vAlign w:val="center"/>
          </w:tcPr>
          <w:p w14:paraId="2C0D3958">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胶原蛋白肽</w:t>
            </w:r>
          </w:p>
        </w:tc>
        <w:tc>
          <w:tcPr>
            <w:tcW w:w="3502" w:type="pct"/>
            <w:noWrap w:val="0"/>
            <w:vAlign w:val="center"/>
          </w:tcPr>
          <w:p w14:paraId="6DCD5B9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促进伤口愈合、恢复皮肤弹性，延缓衰老；增强抵抗力，促进细胞修复。营养关节软骨组织，增加骨细胞活力，促进软骨再生。</w:t>
            </w:r>
          </w:p>
        </w:tc>
        <w:tc>
          <w:tcPr>
            <w:tcW w:w="529" w:type="pct"/>
            <w:noWrap w:val="0"/>
            <w:vAlign w:val="center"/>
          </w:tcPr>
          <w:p w14:paraId="5469C9B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DFD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5DC05901">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12181283">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D35B6E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每100ml含量：能量≥373kJ、蛋白质≥12.4g、脂肪≥0.3g、碳水化合物≥8.9g、钠≥20mg、维生素E≥5.00mgα-TE</w:t>
            </w:r>
          </w:p>
        </w:tc>
        <w:tc>
          <w:tcPr>
            <w:tcW w:w="529" w:type="pct"/>
            <w:noWrap w:val="0"/>
            <w:vAlign w:val="center"/>
          </w:tcPr>
          <w:p w14:paraId="249BAC8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11B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57371B06">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55</w:t>
            </w:r>
          </w:p>
        </w:tc>
        <w:tc>
          <w:tcPr>
            <w:tcW w:w="653" w:type="pct"/>
            <w:vMerge w:val="restart"/>
            <w:noWrap w:val="0"/>
            <w:vAlign w:val="center"/>
          </w:tcPr>
          <w:p w14:paraId="59BCA246">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特殊医学用途全营养配方粉</w:t>
            </w:r>
          </w:p>
        </w:tc>
        <w:tc>
          <w:tcPr>
            <w:tcW w:w="3502" w:type="pct"/>
            <w:noWrap w:val="0"/>
            <w:vAlign w:val="center"/>
          </w:tcPr>
          <w:p w14:paraId="324053D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适用于1-10岁进食受阻、消化吸收障碍、代谢紊乱等需要补充营养的人群。</w:t>
            </w:r>
          </w:p>
        </w:tc>
        <w:tc>
          <w:tcPr>
            <w:tcW w:w="529" w:type="pct"/>
            <w:noWrap w:val="0"/>
            <w:vAlign w:val="center"/>
          </w:tcPr>
          <w:p w14:paraId="0752853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909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4E251CB">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42D565FF">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A8D345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每100g含:能量≥1800kJ蛋白质≥15g脂肪≥17g 亚油酸:≥2g  a-亚麻酸:≥672mg 碳水化合物≥55g 维生素A≥400ugRE 维生素D≥6ug  维生素E≥6mgα-TE 维生素K1≥50μg 维生素B1≥0.9mg 维生素B2≥0.90mg 维生素B6≥0.3mg 维生素B12≥1μg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烟酰胺≥3mg 叶酸≥110μg 泛酸≥2mg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维生素C≥50mg 生物素≥9μg 胆碱≥100mg 肌醇≥20mg 牛磺酸≥30mg 左旋肉碱≥8mg 二十二碳六烯酸≥20mg 二十碳四烯酸≥7mg 膳食纤维≥2g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钠≥200mg 钾≥600mg 铜≥200μg镁≥70mg 铁≥6mg 锌≥5mg 锰≥180μg 钙≥580mg磷≥380mg 碘≥48μg 氯≥450mg 硒≥18μg</w:t>
            </w:r>
          </w:p>
        </w:tc>
        <w:tc>
          <w:tcPr>
            <w:tcW w:w="529" w:type="pct"/>
            <w:noWrap w:val="0"/>
            <w:vAlign w:val="center"/>
          </w:tcPr>
          <w:p w14:paraId="5EA4E01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C10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76BAE129">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56</w:t>
            </w:r>
          </w:p>
        </w:tc>
        <w:tc>
          <w:tcPr>
            <w:tcW w:w="653" w:type="pct"/>
            <w:vMerge w:val="restart"/>
            <w:noWrap w:val="0"/>
            <w:vAlign w:val="center"/>
          </w:tcPr>
          <w:p w14:paraId="6F1B420F">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特殊医学用途早产/低出生体重婴儿配方食品</w:t>
            </w:r>
          </w:p>
        </w:tc>
        <w:tc>
          <w:tcPr>
            <w:tcW w:w="3502" w:type="pct"/>
            <w:noWrap w:val="0"/>
            <w:vAlign w:val="center"/>
          </w:tcPr>
          <w:p w14:paraId="28581A7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适用于早产/低出生体重婴儿。</w:t>
            </w:r>
          </w:p>
        </w:tc>
        <w:tc>
          <w:tcPr>
            <w:tcW w:w="529" w:type="pct"/>
            <w:noWrap w:val="0"/>
            <w:vAlign w:val="center"/>
          </w:tcPr>
          <w:p w14:paraId="38E5811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072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53824477">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4E4AF6D1">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6B9104B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每100g含:能量≥2000kJ 蛋白质≥15 脂肪≥26g 亚油酸≥3g  a-亚麻酸≥380g 碳水化合物≥50g 维生素A≥1300ug 维生素D≥19ug  维生素E≥18mg  维生素K1≥35μg 维生素B1≥850μg 维生素B2≥1200μg 维生素B6≥750μg 维生素B12≥1μg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烟酰胺≥10800μg 叶酸≥190μg 泛酸≥5100μg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维生素C≥120mg 生物素≥20μg 胆碱≥110mg 肌醇≥85mg 牛磺酸≥30g 左旋肉碱≥10mg 二十二碳六烯酸≥80mg 二十碳四烯酸≥120mg 核苷酸≥20mg钠≥290mg 钾≥400mg 铜≥510μg镁≥50mg铁：≥0.5mg 锌≥6mg 锰≥40μg 钙：650mg 磷≥380mg碘≥100μg氯≥450mg硒≥20μg</w:t>
            </w:r>
          </w:p>
        </w:tc>
        <w:tc>
          <w:tcPr>
            <w:tcW w:w="529" w:type="pct"/>
            <w:noWrap w:val="0"/>
            <w:vAlign w:val="center"/>
          </w:tcPr>
          <w:p w14:paraId="268241F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E93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4"/>
            <w:noWrap w:val="0"/>
            <w:vAlign w:val="center"/>
          </w:tcPr>
          <w:p w14:paraId="70D110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sz w:val="24"/>
                <w:szCs w:val="24"/>
              </w:rPr>
              <w:t>2、肠内营养配制袋（</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种）</w:t>
            </w:r>
          </w:p>
        </w:tc>
      </w:tr>
      <w:tr w14:paraId="666FD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28FA4A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w:t>
            </w:r>
          </w:p>
        </w:tc>
        <w:tc>
          <w:tcPr>
            <w:tcW w:w="653" w:type="pct"/>
            <w:vMerge w:val="restart"/>
            <w:noWrap w:val="0"/>
            <w:vAlign w:val="center"/>
          </w:tcPr>
          <w:p w14:paraId="088F57D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配制液体包装袋1</w:t>
            </w:r>
          </w:p>
        </w:tc>
        <w:tc>
          <w:tcPr>
            <w:tcW w:w="3502" w:type="pct"/>
            <w:noWrap w:val="0"/>
            <w:vAlign w:val="center"/>
          </w:tcPr>
          <w:p w14:paraId="76802497">
            <w:pPr>
              <w:rPr>
                <w:rFonts w:hint="eastAsia" w:ascii="宋体" w:hAnsi="宋体" w:eastAsia="宋体" w:cs="宋体"/>
                <w:b/>
                <w:bCs/>
                <w:sz w:val="24"/>
                <w:szCs w:val="24"/>
              </w:rPr>
            </w:pPr>
            <w:r>
              <w:rPr>
                <w:rFonts w:hint="eastAsia" w:ascii="宋体" w:hAnsi="宋体" w:eastAsia="宋体" w:cs="宋体"/>
                <w:sz w:val="24"/>
                <w:szCs w:val="24"/>
              </w:rPr>
              <w:t>食品级</w:t>
            </w:r>
          </w:p>
        </w:tc>
        <w:tc>
          <w:tcPr>
            <w:tcW w:w="529" w:type="pct"/>
            <w:noWrap w:val="0"/>
            <w:vAlign w:val="center"/>
          </w:tcPr>
          <w:p w14:paraId="1AB25A6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8EE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6B61DAE0">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582985BE">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CA5554F">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肠内营养配制包装（口服）</w:t>
            </w:r>
          </w:p>
        </w:tc>
        <w:tc>
          <w:tcPr>
            <w:tcW w:w="529" w:type="pct"/>
            <w:noWrap w:val="0"/>
            <w:vAlign w:val="center"/>
          </w:tcPr>
          <w:p w14:paraId="7E3A72DE">
            <w:pPr>
              <w:keepNext w:val="0"/>
              <w:keepLines w:val="0"/>
              <w:widowControl/>
              <w:suppressLineNumbers w:val="0"/>
              <w:jc w:val="both"/>
              <w:textAlignment w:val="center"/>
              <w:rPr>
                <w:rFonts w:hint="eastAsia" w:ascii="宋体" w:hAnsi="宋体" w:eastAsia="宋体" w:cs="宋体"/>
                <w:sz w:val="24"/>
                <w:szCs w:val="24"/>
              </w:rPr>
            </w:pPr>
          </w:p>
        </w:tc>
      </w:tr>
      <w:tr w14:paraId="7B81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57CB3D70">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A2B6A6B">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6D544D2B">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液体包装袋，＜</w:t>
            </w:r>
            <w:r>
              <w:rPr>
                <w:rFonts w:hint="eastAsia" w:ascii="宋体" w:hAnsi="宋体" w:eastAsia="宋体" w:cs="宋体"/>
                <w:color w:val="000000"/>
                <w:kern w:val="0"/>
                <w:sz w:val="24"/>
                <w:szCs w:val="24"/>
                <w:lang w:val="en-US" w:eastAsia="zh-CN"/>
              </w:rPr>
              <w:t>350</w:t>
            </w:r>
            <w:r>
              <w:rPr>
                <w:rFonts w:hint="eastAsia" w:ascii="宋体" w:hAnsi="宋体" w:eastAsia="宋体" w:cs="宋体"/>
                <w:color w:val="000000"/>
                <w:kern w:val="0"/>
                <w:sz w:val="24"/>
                <w:szCs w:val="24"/>
              </w:rPr>
              <w:t>ml（装量）</w:t>
            </w:r>
          </w:p>
        </w:tc>
        <w:tc>
          <w:tcPr>
            <w:tcW w:w="529" w:type="pct"/>
            <w:noWrap w:val="0"/>
            <w:vAlign w:val="center"/>
          </w:tcPr>
          <w:p w14:paraId="1FF26E5F">
            <w:pPr>
              <w:keepNext w:val="0"/>
              <w:keepLines w:val="0"/>
              <w:widowControl/>
              <w:suppressLineNumbers w:val="0"/>
              <w:jc w:val="both"/>
              <w:textAlignment w:val="center"/>
              <w:rPr>
                <w:rFonts w:hint="eastAsia" w:ascii="宋体" w:hAnsi="宋体" w:eastAsia="宋体" w:cs="宋体"/>
                <w:sz w:val="24"/>
                <w:szCs w:val="24"/>
              </w:rPr>
            </w:pPr>
          </w:p>
        </w:tc>
      </w:tr>
      <w:tr w14:paraId="308E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03BE0A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58</w:t>
            </w:r>
          </w:p>
        </w:tc>
        <w:tc>
          <w:tcPr>
            <w:tcW w:w="653" w:type="pct"/>
            <w:vMerge w:val="restart"/>
            <w:noWrap w:val="0"/>
            <w:vAlign w:val="center"/>
          </w:tcPr>
          <w:p w14:paraId="692C3BE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配制液体包装袋2</w:t>
            </w:r>
          </w:p>
        </w:tc>
        <w:tc>
          <w:tcPr>
            <w:tcW w:w="3502" w:type="pct"/>
            <w:noWrap w:val="0"/>
            <w:vAlign w:val="center"/>
          </w:tcPr>
          <w:p w14:paraId="24094CAC">
            <w:pPr>
              <w:rPr>
                <w:rFonts w:hint="eastAsia" w:ascii="宋体" w:hAnsi="宋体" w:eastAsia="宋体" w:cs="宋体"/>
                <w:b/>
                <w:bCs/>
                <w:sz w:val="24"/>
                <w:szCs w:val="24"/>
              </w:rPr>
            </w:pPr>
            <w:r>
              <w:rPr>
                <w:rFonts w:hint="eastAsia" w:ascii="宋体" w:hAnsi="宋体" w:eastAsia="宋体" w:cs="宋体"/>
                <w:sz w:val="24"/>
                <w:szCs w:val="24"/>
              </w:rPr>
              <w:t>食品级</w:t>
            </w:r>
          </w:p>
        </w:tc>
        <w:tc>
          <w:tcPr>
            <w:tcW w:w="529" w:type="pct"/>
            <w:noWrap w:val="0"/>
            <w:vAlign w:val="center"/>
          </w:tcPr>
          <w:p w14:paraId="0B8FD91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3DD7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E827092">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72ACC76">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392F1AD4">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肠内营养配制包装（管饲）</w:t>
            </w:r>
          </w:p>
        </w:tc>
        <w:tc>
          <w:tcPr>
            <w:tcW w:w="529" w:type="pct"/>
            <w:noWrap w:val="0"/>
            <w:vAlign w:val="center"/>
          </w:tcPr>
          <w:p w14:paraId="1807A14B">
            <w:pPr>
              <w:keepNext w:val="0"/>
              <w:keepLines w:val="0"/>
              <w:widowControl/>
              <w:suppressLineNumbers w:val="0"/>
              <w:jc w:val="both"/>
              <w:textAlignment w:val="center"/>
              <w:rPr>
                <w:rFonts w:hint="eastAsia" w:ascii="宋体" w:hAnsi="宋体" w:eastAsia="宋体" w:cs="宋体"/>
                <w:sz w:val="24"/>
                <w:szCs w:val="24"/>
              </w:rPr>
            </w:pPr>
          </w:p>
        </w:tc>
      </w:tr>
      <w:tr w14:paraId="47BF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06A829CA">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38C843C7">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DE3800C">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液体包装袋，＜</w:t>
            </w:r>
            <w:r>
              <w:rPr>
                <w:rFonts w:hint="eastAsia" w:ascii="宋体" w:hAnsi="宋体" w:eastAsia="宋体" w:cs="宋体"/>
                <w:color w:val="000000"/>
                <w:kern w:val="0"/>
                <w:sz w:val="24"/>
                <w:szCs w:val="24"/>
                <w:lang w:val="en-US" w:eastAsia="zh-CN"/>
              </w:rPr>
              <w:t>350</w:t>
            </w:r>
            <w:r>
              <w:rPr>
                <w:rFonts w:hint="eastAsia" w:ascii="宋体" w:hAnsi="宋体" w:eastAsia="宋体" w:cs="宋体"/>
                <w:color w:val="000000"/>
                <w:kern w:val="0"/>
                <w:sz w:val="24"/>
                <w:szCs w:val="24"/>
              </w:rPr>
              <w:t>ml（装量）</w:t>
            </w:r>
          </w:p>
        </w:tc>
        <w:tc>
          <w:tcPr>
            <w:tcW w:w="529" w:type="pct"/>
            <w:noWrap w:val="0"/>
            <w:vAlign w:val="center"/>
          </w:tcPr>
          <w:p w14:paraId="0BF9098C">
            <w:pPr>
              <w:keepNext w:val="0"/>
              <w:keepLines w:val="0"/>
              <w:widowControl/>
              <w:suppressLineNumbers w:val="0"/>
              <w:jc w:val="both"/>
              <w:textAlignment w:val="center"/>
              <w:rPr>
                <w:rFonts w:hint="eastAsia" w:ascii="宋体" w:hAnsi="宋体" w:eastAsia="宋体" w:cs="宋体"/>
                <w:sz w:val="24"/>
                <w:szCs w:val="24"/>
              </w:rPr>
            </w:pPr>
          </w:p>
        </w:tc>
      </w:tr>
      <w:tr w14:paraId="4B16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57CFAB3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59</w:t>
            </w:r>
          </w:p>
        </w:tc>
        <w:tc>
          <w:tcPr>
            <w:tcW w:w="653" w:type="pct"/>
            <w:vMerge w:val="restart"/>
            <w:noWrap w:val="0"/>
            <w:vAlign w:val="center"/>
          </w:tcPr>
          <w:p w14:paraId="0CE6855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配制液体包装袋1</w:t>
            </w:r>
          </w:p>
        </w:tc>
        <w:tc>
          <w:tcPr>
            <w:tcW w:w="3502" w:type="pct"/>
            <w:noWrap w:val="0"/>
            <w:vAlign w:val="center"/>
          </w:tcPr>
          <w:p w14:paraId="6475A7D6">
            <w:pPr>
              <w:rPr>
                <w:rFonts w:hint="eastAsia" w:ascii="宋体" w:hAnsi="宋体" w:eastAsia="宋体" w:cs="宋体"/>
                <w:b/>
                <w:bCs/>
                <w:sz w:val="24"/>
                <w:szCs w:val="24"/>
              </w:rPr>
            </w:pPr>
            <w:r>
              <w:rPr>
                <w:rFonts w:hint="eastAsia" w:ascii="宋体" w:hAnsi="宋体" w:eastAsia="宋体" w:cs="宋体"/>
                <w:sz w:val="24"/>
                <w:szCs w:val="24"/>
              </w:rPr>
              <w:t>食品级</w:t>
            </w:r>
          </w:p>
        </w:tc>
        <w:tc>
          <w:tcPr>
            <w:tcW w:w="529" w:type="pct"/>
            <w:noWrap w:val="0"/>
            <w:vAlign w:val="center"/>
          </w:tcPr>
          <w:p w14:paraId="21BDCC5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47D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77D96E1D">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73F2142">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16B0B054">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肠内营养配制包装（管饲）</w:t>
            </w:r>
          </w:p>
        </w:tc>
        <w:tc>
          <w:tcPr>
            <w:tcW w:w="529" w:type="pct"/>
            <w:noWrap w:val="0"/>
            <w:vAlign w:val="center"/>
          </w:tcPr>
          <w:p w14:paraId="187B3A10">
            <w:pPr>
              <w:keepNext w:val="0"/>
              <w:keepLines w:val="0"/>
              <w:widowControl/>
              <w:suppressLineNumbers w:val="0"/>
              <w:jc w:val="both"/>
              <w:textAlignment w:val="center"/>
              <w:rPr>
                <w:rFonts w:hint="eastAsia" w:ascii="宋体" w:hAnsi="宋体" w:eastAsia="宋体" w:cs="宋体"/>
                <w:sz w:val="24"/>
                <w:szCs w:val="24"/>
              </w:rPr>
            </w:pPr>
          </w:p>
        </w:tc>
      </w:tr>
      <w:tr w14:paraId="5053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59DEE65B">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512A52CA">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6A7B2A85">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液体包装袋，＜</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00g/袋（装量）</w:t>
            </w:r>
          </w:p>
        </w:tc>
        <w:tc>
          <w:tcPr>
            <w:tcW w:w="529" w:type="pct"/>
            <w:noWrap w:val="0"/>
            <w:vAlign w:val="center"/>
          </w:tcPr>
          <w:p w14:paraId="5BD9F02B">
            <w:pPr>
              <w:keepNext w:val="0"/>
              <w:keepLines w:val="0"/>
              <w:widowControl/>
              <w:suppressLineNumbers w:val="0"/>
              <w:jc w:val="both"/>
              <w:textAlignment w:val="center"/>
              <w:rPr>
                <w:rFonts w:hint="eastAsia" w:ascii="宋体" w:hAnsi="宋体" w:eastAsia="宋体" w:cs="宋体"/>
                <w:sz w:val="24"/>
                <w:szCs w:val="24"/>
              </w:rPr>
            </w:pPr>
          </w:p>
        </w:tc>
      </w:tr>
      <w:tr w14:paraId="1E14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127242A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60</w:t>
            </w:r>
          </w:p>
        </w:tc>
        <w:tc>
          <w:tcPr>
            <w:tcW w:w="653" w:type="pct"/>
            <w:vMerge w:val="restart"/>
            <w:noWrap w:val="0"/>
            <w:vAlign w:val="center"/>
          </w:tcPr>
          <w:p w14:paraId="2A8E2AB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配制液固体包装袋</w:t>
            </w:r>
          </w:p>
        </w:tc>
        <w:tc>
          <w:tcPr>
            <w:tcW w:w="3502" w:type="pct"/>
            <w:noWrap w:val="0"/>
            <w:vAlign w:val="center"/>
          </w:tcPr>
          <w:p w14:paraId="2DB7BAC3">
            <w:pPr>
              <w:rPr>
                <w:rFonts w:hint="eastAsia" w:ascii="宋体" w:hAnsi="宋体" w:eastAsia="宋体" w:cs="宋体"/>
                <w:b/>
                <w:bCs/>
                <w:sz w:val="24"/>
                <w:szCs w:val="24"/>
              </w:rPr>
            </w:pPr>
            <w:r>
              <w:rPr>
                <w:rFonts w:hint="eastAsia" w:ascii="宋体" w:hAnsi="宋体" w:eastAsia="宋体" w:cs="宋体"/>
                <w:sz w:val="24"/>
                <w:szCs w:val="24"/>
              </w:rPr>
              <w:t>食品级</w:t>
            </w:r>
          </w:p>
        </w:tc>
        <w:tc>
          <w:tcPr>
            <w:tcW w:w="529" w:type="pct"/>
            <w:noWrap w:val="0"/>
            <w:vAlign w:val="center"/>
          </w:tcPr>
          <w:p w14:paraId="61CB828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C0D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13444FA2">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1F50348F">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28E8D502">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rPr>
              <w:t>肠内营养配制包装</w:t>
            </w:r>
          </w:p>
        </w:tc>
        <w:tc>
          <w:tcPr>
            <w:tcW w:w="529" w:type="pct"/>
            <w:noWrap w:val="0"/>
            <w:vAlign w:val="center"/>
          </w:tcPr>
          <w:p w14:paraId="1E5E5FAE">
            <w:pPr>
              <w:widowControl/>
              <w:rPr>
                <w:rFonts w:hint="eastAsia" w:ascii="宋体" w:hAnsi="宋体" w:eastAsia="宋体" w:cs="宋体"/>
                <w:sz w:val="24"/>
                <w:szCs w:val="24"/>
              </w:rPr>
            </w:pPr>
          </w:p>
        </w:tc>
      </w:tr>
      <w:tr w14:paraId="34026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7E3604B8">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4C3CE3FD">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5273400E">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液</w:t>
            </w:r>
            <w:r>
              <w:rPr>
                <w:rFonts w:hint="eastAsia" w:ascii="宋体" w:hAnsi="宋体" w:eastAsia="宋体" w:cs="宋体"/>
                <w:color w:val="000000"/>
                <w:kern w:val="0"/>
                <w:sz w:val="24"/>
                <w:szCs w:val="24"/>
                <w:lang w:val="en-US" w:eastAsia="zh-CN"/>
              </w:rPr>
              <w:t>固体</w:t>
            </w:r>
            <w:r>
              <w:rPr>
                <w:rFonts w:hint="eastAsia" w:ascii="宋体" w:hAnsi="宋体" w:eastAsia="宋体" w:cs="宋体"/>
                <w:color w:val="000000"/>
                <w:kern w:val="0"/>
                <w:sz w:val="24"/>
                <w:szCs w:val="24"/>
              </w:rPr>
              <w:t>包装袋，＜</w:t>
            </w:r>
            <w:r>
              <w:rPr>
                <w:rFonts w:hint="eastAsia" w:ascii="宋体" w:hAnsi="宋体" w:eastAsia="宋体" w:cs="宋体"/>
                <w:color w:val="000000"/>
                <w:kern w:val="0"/>
                <w:sz w:val="24"/>
                <w:szCs w:val="24"/>
                <w:lang w:val="en-US" w:eastAsia="zh-CN"/>
              </w:rPr>
              <w:t>350</w:t>
            </w:r>
            <w:r>
              <w:rPr>
                <w:rFonts w:hint="eastAsia" w:ascii="宋体" w:hAnsi="宋体" w:eastAsia="宋体" w:cs="宋体"/>
                <w:color w:val="000000"/>
                <w:kern w:val="0"/>
                <w:sz w:val="24"/>
                <w:szCs w:val="24"/>
              </w:rPr>
              <w:t>ml（装量）</w:t>
            </w:r>
          </w:p>
        </w:tc>
        <w:tc>
          <w:tcPr>
            <w:tcW w:w="529" w:type="pct"/>
            <w:noWrap w:val="0"/>
            <w:vAlign w:val="center"/>
          </w:tcPr>
          <w:p w14:paraId="7A1D576F">
            <w:pPr>
              <w:widowControl/>
              <w:rPr>
                <w:rFonts w:hint="eastAsia" w:ascii="宋体" w:hAnsi="宋体" w:eastAsia="宋体" w:cs="宋体"/>
                <w:sz w:val="24"/>
                <w:szCs w:val="24"/>
              </w:rPr>
            </w:pPr>
          </w:p>
        </w:tc>
      </w:tr>
      <w:tr w14:paraId="14E4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restart"/>
            <w:noWrap w:val="0"/>
            <w:vAlign w:val="center"/>
          </w:tcPr>
          <w:p w14:paraId="3B9BF76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w:t>
            </w:r>
          </w:p>
        </w:tc>
        <w:tc>
          <w:tcPr>
            <w:tcW w:w="653" w:type="pct"/>
            <w:vMerge w:val="restart"/>
            <w:noWrap w:val="0"/>
            <w:vAlign w:val="center"/>
          </w:tcPr>
          <w:p w14:paraId="6DF1390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配制固体包装袋</w:t>
            </w:r>
          </w:p>
        </w:tc>
        <w:tc>
          <w:tcPr>
            <w:tcW w:w="3502" w:type="pct"/>
            <w:noWrap w:val="0"/>
            <w:vAlign w:val="center"/>
          </w:tcPr>
          <w:p w14:paraId="31BFDF16">
            <w:pPr>
              <w:rPr>
                <w:rFonts w:hint="eastAsia" w:ascii="宋体" w:hAnsi="宋体" w:eastAsia="宋体" w:cs="宋体"/>
                <w:b/>
                <w:bCs/>
                <w:sz w:val="24"/>
                <w:szCs w:val="24"/>
              </w:rPr>
            </w:pPr>
            <w:r>
              <w:rPr>
                <w:rFonts w:hint="eastAsia" w:ascii="宋体" w:hAnsi="宋体" w:eastAsia="宋体" w:cs="宋体"/>
                <w:sz w:val="24"/>
                <w:szCs w:val="24"/>
              </w:rPr>
              <w:t>食品级</w:t>
            </w:r>
          </w:p>
        </w:tc>
        <w:tc>
          <w:tcPr>
            <w:tcW w:w="529" w:type="pct"/>
            <w:noWrap w:val="0"/>
            <w:vAlign w:val="center"/>
          </w:tcPr>
          <w:p w14:paraId="71044BCF">
            <w:pPr>
              <w:widowControl/>
              <w:rPr>
                <w:rFonts w:hint="eastAsia" w:ascii="宋体" w:hAnsi="宋体" w:eastAsia="宋体" w:cs="宋体"/>
                <w:i w:val="0"/>
                <w:iCs w:val="0"/>
                <w:color w:val="000000"/>
                <w:kern w:val="0"/>
                <w:sz w:val="24"/>
                <w:szCs w:val="24"/>
                <w:u w:val="none"/>
                <w:lang w:val="en-US" w:eastAsia="zh-CN" w:bidi="ar"/>
              </w:rPr>
            </w:pPr>
          </w:p>
        </w:tc>
      </w:tr>
      <w:tr w14:paraId="4344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2EBA6E29">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2DA6476E">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0E7F31EF">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sz w:val="24"/>
                <w:szCs w:val="24"/>
              </w:rPr>
              <w:t>配制固体包装袋</w:t>
            </w:r>
          </w:p>
        </w:tc>
        <w:tc>
          <w:tcPr>
            <w:tcW w:w="529" w:type="pct"/>
            <w:noWrap w:val="0"/>
            <w:vAlign w:val="center"/>
          </w:tcPr>
          <w:p w14:paraId="03ED533F">
            <w:pPr>
              <w:rPr>
                <w:rFonts w:hint="eastAsia" w:ascii="宋体" w:hAnsi="宋体" w:eastAsia="宋体" w:cs="宋体"/>
                <w:sz w:val="24"/>
                <w:szCs w:val="24"/>
              </w:rPr>
            </w:pPr>
          </w:p>
        </w:tc>
      </w:tr>
      <w:tr w14:paraId="6947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4" w:type="pct"/>
            <w:vMerge w:val="continue"/>
            <w:noWrap w:val="0"/>
            <w:vAlign w:val="center"/>
          </w:tcPr>
          <w:p w14:paraId="35E1D1BA">
            <w:pPr>
              <w:keepNext w:val="0"/>
              <w:keepLines w:val="0"/>
              <w:widowControl/>
              <w:suppressLineNumbers w:val="0"/>
              <w:jc w:val="both"/>
              <w:textAlignment w:val="center"/>
              <w:rPr>
                <w:rFonts w:hint="eastAsia" w:ascii="宋体" w:hAnsi="宋体" w:eastAsia="宋体" w:cs="宋体"/>
                <w:sz w:val="24"/>
                <w:szCs w:val="24"/>
              </w:rPr>
            </w:pPr>
          </w:p>
        </w:tc>
        <w:tc>
          <w:tcPr>
            <w:tcW w:w="653" w:type="pct"/>
            <w:vMerge w:val="continue"/>
            <w:noWrap w:val="0"/>
            <w:vAlign w:val="center"/>
          </w:tcPr>
          <w:p w14:paraId="77D9CB98">
            <w:pPr>
              <w:keepNext w:val="0"/>
              <w:keepLines w:val="0"/>
              <w:widowControl/>
              <w:suppressLineNumbers w:val="0"/>
              <w:jc w:val="both"/>
              <w:textAlignment w:val="center"/>
              <w:rPr>
                <w:rFonts w:hint="eastAsia" w:ascii="宋体" w:hAnsi="宋体" w:eastAsia="宋体" w:cs="宋体"/>
                <w:sz w:val="24"/>
                <w:szCs w:val="24"/>
              </w:rPr>
            </w:pPr>
          </w:p>
        </w:tc>
        <w:tc>
          <w:tcPr>
            <w:tcW w:w="3502" w:type="pct"/>
            <w:noWrap w:val="0"/>
            <w:vAlign w:val="center"/>
          </w:tcPr>
          <w:p w14:paraId="0BD517B7">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固</w:t>
            </w:r>
            <w:r>
              <w:rPr>
                <w:rFonts w:hint="eastAsia" w:ascii="宋体" w:hAnsi="宋体" w:eastAsia="宋体" w:cs="宋体"/>
                <w:color w:val="000000"/>
                <w:kern w:val="0"/>
                <w:sz w:val="24"/>
                <w:szCs w:val="24"/>
              </w:rPr>
              <w:t>体包装袋，＜</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00g/袋（装量）</w:t>
            </w:r>
          </w:p>
        </w:tc>
        <w:tc>
          <w:tcPr>
            <w:tcW w:w="529" w:type="pct"/>
            <w:noWrap w:val="0"/>
            <w:vAlign w:val="center"/>
          </w:tcPr>
          <w:p w14:paraId="278B7300">
            <w:pPr>
              <w:rPr>
                <w:rFonts w:hint="eastAsia" w:ascii="宋体" w:hAnsi="宋体" w:eastAsia="宋体" w:cs="宋体"/>
                <w:sz w:val="24"/>
                <w:szCs w:val="24"/>
              </w:rPr>
            </w:pPr>
          </w:p>
        </w:tc>
      </w:tr>
    </w:tbl>
    <w:p w14:paraId="57A3469A">
      <w:pPr>
        <w:rPr>
          <w:rFonts w:hint="eastAsia"/>
        </w:rPr>
      </w:pPr>
    </w:p>
    <w:p w14:paraId="54D891EB">
      <w:pPr>
        <w:pStyle w:val="4"/>
        <w:numPr>
          <w:ilvl w:val="1"/>
          <w:numId w:val="0"/>
        </w:numPr>
        <w:tabs>
          <w:tab w:val="left" w:pos="576"/>
        </w:tabs>
        <w:spacing w:line="240" w:lineRule="auto"/>
        <w:ind w:left="480" w:leftChars="0"/>
        <w:rPr>
          <w:color w:val="auto"/>
        </w:rPr>
      </w:pPr>
      <w:bookmarkStart w:id="4" w:name="_Toc163493629"/>
      <w:bookmarkStart w:id="5" w:name="_Toc156490325"/>
      <w:r>
        <w:rPr>
          <w:rFonts w:hint="eastAsia"/>
          <w:color w:val="auto"/>
          <w:lang w:val="en-US" w:eastAsia="zh-CN"/>
        </w:rPr>
        <w:t>三、</w:t>
      </w:r>
      <w:r>
        <w:rPr>
          <w:rFonts w:hint="eastAsia"/>
          <w:color w:val="auto"/>
        </w:rPr>
        <w:t>商务要求</w:t>
      </w:r>
      <w:bookmarkEnd w:id="4"/>
      <w:bookmarkEnd w:id="5"/>
    </w:p>
    <w:p w14:paraId="29E0C01E">
      <w:pPr>
        <w:spacing w:line="240" w:lineRule="auto"/>
        <w:rPr>
          <w:rFonts w:cs="宋体"/>
          <w:color w:val="auto"/>
          <w:sz w:val="28"/>
          <w:szCs w:val="28"/>
        </w:rPr>
      </w:pPr>
      <w:r>
        <w:rPr>
          <w:rFonts w:hint="eastAsia" w:cs="宋体"/>
          <w:color w:val="auto"/>
          <w:sz w:val="28"/>
          <w:szCs w:val="28"/>
        </w:rPr>
        <w:t>说明：</w:t>
      </w:r>
      <w:r>
        <w:rPr>
          <w:rFonts w:hint="eastAsia" w:cs="仿宋_GB2312"/>
          <w:color w:val="auto"/>
          <w:sz w:val="28"/>
          <w:szCs w:val="28"/>
        </w:rPr>
        <w:t>供应商在响应文件《商务技术要求响应、偏离说明表》中应对以下逐条商务要求进行响应描述或偏离说明，</w:t>
      </w:r>
      <w:r>
        <w:rPr>
          <w:rFonts w:hint="eastAsia" w:cs="宋体"/>
          <w:color w:val="auto"/>
          <w:sz w:val="28"/>
          <w:szCs w:val="28"/>
        </w:rPr>
        <w:t>不满足此要求的，</w:t>
      </w:r>
      <w:r>
        <w:rPr>
          <w:rFonts w:hint="eastAsia" w:cs="仿宋_GB2312"/>
          <w:b/>
          <w:color w:val="auto"/>
          <w:sz w:val="28"/>
          <w:szCs w:val="28"/>
        </w:rPr>
        <w:t>其响应文件可能将按照无效文件处理</w:t>
      </w:r>
      <w:r>
        <w:rPr>
          <w:rFonts w:hint="eastAsia" w:cs="宋体"/>
          <w:color w:val="auto"/>
          <w:sz w:val="28"/>
          <w:szCs w:val="28"/>
        </w:rPr>
        <w:t>。</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607"/>
        <w:gridCol w:w="5983"/>
        <w:gridCol w:w="1069"/>
      </w:tblGrid>
      <w:tr w14:paraId="763D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332" w:type="pct"/>
            <w:vAlign w:val="center"/>
          </w:tcPr>
          <w:p w14:paraId="16FF9FE2">
            <w:pPr>
              <w:ind w:left="-57" w:leftChars="-27"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66" w:type="pct"/>
            <w:vAlign w:val="center"/>
          </w:tcPr>
          <w:p w14:paraId="02337DB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商务条款</w:t>
            </w:r>
          </w:p>
        </w:tc>
        <w:tc>
          <w:tcPr>
            <w:tcW w:w="3224" w:type="pct"/>
            <w:vAlign w:val="center"/>
          </w:tcPr>
          <w:p w14:paraId="7749BD1F">
            <w:pPr>
              <w:ind w:left="-92" w:leftChars="-44"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576" w:type="pct"/>
            <w:vAlign w:val="center"/>
          </w:tcPr>
          <w:p w14:paraId="48201E4E">
            <w:pPr>
              <w:ind w:left="-107" w:leftChars="-51" w:right="-107" w:rightChars="-51"/>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备注</w:t>
            </w:r>
          </w:p>
        </w:tc>
      </w:tr>
      <w:tr w14:paraId="0F2E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32" w:type="pct"/>
            <w:vAlign w:val="center"/>
          </w:tcPr>
          <w:p w14:paraId="44660DBB">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66" w:type="pct"/>
            <w:vAlign w:val="center"/>
          </w:tcPr>
          <w:p w14:paraId="66FE79E8">
            <w:pPr>
              <w:widowControl/>
              <w:spacing w:line="36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olor w:val="000000" w:themeColor="text1"/>
                <w:sz w:val="24"/>
                <w14:textFill>
                  <w14:solidFill>
                    <w14:schemeClr w14:val="tx1"/>
                  </w14:solidFill>
                </w14:textFill>
              </w:rPr>
              <w:t>交货方式</w:t>
            </w:r>
          </w:p>
        </w:tc>
        <w:tc>
          <w:tcPr>
            <w:tcW w:w="3224" w:type="pct"/>
            <w:vAlign w:val="center"/>
          </w:tcPr>
          <w:p w14:paraId="2D28646F">
            <w:pPr>
              <w:spacing w:line="288" w:lineRule="auto"/>
              <w:rPr>
                <w:rFonts w:hint="eastAsia" w:ascii="宋体" w:hAnsi="宋体" w:eastAsia="宋体" w:cs="宋体"/>
                <w:sz w:val="24"/>
                <w:szCs w:val="24"/>
                <w:lang w:val="zh-CN"/>
              </w:rPr>
            </w:pPr>
            <w:r>
              <w:rPr>
                <w:rFonts w:hint="eastAsia" w:ascii="宋体" w:hAnsi="宋体"/>
                <w:color w:val="000000" w:themeColor="text1"/>
                <w:sz w:val="24"/>
                <w14:textFill>
                  <w14:solidFill>
                    <w14:schemeClr w14:val="tx1"/>
                  </w14:solidFill>
                </w14:textFill>
              </w:rPr>
              <w:t>中标供应商按采购人要求的供货时间按需配送至采购人指定地点，同时需无条件保障采购人的应急配送要求。若提供的产品厂家、品种、数量、规格不符合需求，可拒绝收货。</w:t>
            </w:r>
          </w:p>
        </w:tc>
        <w:tc>
          <w:tcPr>
            <w:tcW w:w="576" w:type="pct"/>
            <w:vAlign w:val="center"/>
          </w:tcPr>
          <w:p w14:paraId="006D0E27">
            <w:pPr>
              <w:widowControl/>
              <w:spacing w:line="360" w:lineRule="auto"/>
              <w:jc w:val="center"/>
              <w:textAlignment w:val="center"/>
              <w:rPr>
                <w:rFonts w:hint="eastAsia" w:ascii="宋体" w:hAnsi="宋体" w:eastAsia="宋体" w:cs="宋体"/>
                <w:color w:val="auto"/>
                <w:kern w:val="0"/>
                <w:sz w:val="24"/>
                <w:szCs w:val="24"/>
                <w:highlight w:val="none"/>
              </w:rPr>
            </w:pPr>
          </w:p>
        </w:tc>
      </w:tr>
      <w:tr w14:paraId="0038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332" w:type="pct"/>
            <w:vAlign w:val="center"/>
          </w:tcPr>
          <w:p w14:paraId="7287C146">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866" w:type="pct"/>
            <w:vAlign w:val="center"/>
          </w:tcPr>
          <w:p w14:paraId="69629D07">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交货</w:t>
            </w:r>
            <w:r>
              <w:rPr>
                <w:rFonts w:hint="eastAsia" w:ascii="宋体" w:hAnsi="宋体" w:eastAsia="宋体" w:cs="宋体"/>
                <w:color w:val="auto"/>
                <w:kern w:val="0"/>
                <w:sz w:val="24"/>
                <w:szCs w:val="24"/>
                <w:highlight w:val="none"/>
              </w:rPr>
              <w:t>地点</w:t>
            </w:r>
          </w:p>
        </w:tc>
        <w:tc>
          <w:tcPr>
            <w:tcW w:w="3224" w:type="pct"/>
            <w:vAlign w:val="center"/>
          </w:tcPr>
          <w:p w14:paraId="15B79C15">
            <w:pPr>
              <w:spacing w:line="288" w:lineRule="auto"/>
              <w:rPr>
                <w:rFonts w:hint="eastAsia" w:ascii="宋体" w:hAnsi="宋体" w:eastAsia="宋体" w:cs="宋体"/>
                <w:sz w:val="24"/>
                <w:szCs w:val="24"/>
                <w:lang w:val="zh-CN"/>
              </w:rPr>
            </w:pPr>
            <w:r>
              <w:rPr>
                <w:rFonts w:hint="eastAsia" w:ascii="宋体" w:hAnsi="宋体"/>
                <w:color w:val="000000" w:themeColor="text1"/>
                <w:sz w:val="24"/>
                <w:lang w:val="en-US" w:eastAsia="zh-CN"/>
                <w14:textFill>
                  <w14:solidFill>
                    <w14:schemeClr w14:val="tx1"/>
                  </w14:solidFill>
                </w14:textFill>
              </w:rPr>
              <w:t>洪湖市</w:t>
            </w:r>
            <w:r>
              <w:rPr>
                <w:rFonts w:hint="eastAsia" w:ascii="宋体" w:hAnsi="宋体"/>
                <w:color w:val="000000" w:themeColor="text1"/>
                <w:sz w:val="24"/>
                <w14:textFill>
                  <w14:solidFill>
                    <w14:schemeClr w14:val="tx1"/>
                  </w14:solidFill>
                </w14:textFill>
              </w:rPr>
              <w:t>人民医院指定地点</w:t>
            </w:r>
          </w:p>
        </w:tc>
        <w:tc>
          <w:tcPr>
            <w:tcW w:w="576" w:type="pct"/>
            <w:vAlign w:val="center"/>
          </w:tcPr>
          <w:p w14:paraId="1270049D">
            <w:pPr>
              <w:widowControl/>
              <w:spacing w:line="360" w:lineRule="auto"/>
              <w:jc w:val="center"/>
              <w:textAlignment w:val="center"/>
              <w:rPr>
                <w:rFonts w:hint="eastAsia" w:ascii="宋体" w:hAnsi="宋体" w:eastAsia="宋体" w:cs="宋体"/>
                <w:color w:val="auto"/>
                <w:kern w:val="0"/>
                <w:sz w:val="24"/>
                <w:szCs w:val="24"/>
                <w:highlight w:val="none"/>
              </w:rPr>
            </w:pPr>
          </w:p>
        </w:tc>
      </w:tr>
      <w:tr w14:paraId="7695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332" w:type="pct"/>
            <w:vAlign w:val="center"/>
          </w:tcPr>
          <w:p w14:paraId="2A0BB757">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866" w:type="pct"/>
            <w:vAlign w:val="center"/>
          </w:tcPr>
          <w:p w14:paraId="1DED6C37">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color w:val="000000" w:themeColor="text1"/>
                <w:sz w:val="24"/>
                <w14:textFill>
                  <w14:solidFill>
                    <w14:schemeClr w14:val="tx1"/>
                  </w14:solidFill>
                </w14:textFill>
              </w:rPr>
              <w:t>合同履行期限</w:t>
            </w:r>
          </w:p>
        </w:tc>
        <w:tc>
          <w:tcPr>
            <w:tcW w:w="3224" w:type="pct"/>
            <w:vAlign w:val="center"/>
          </w:tcPr>
          <w:p w14:paraId="7AFC4810">
            <w:pPr>
              <w:spacing w:line="288" w:lineRule="auto"/>
              <w:rPr>
                <w:rFonts w:hint="default"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三个月</w:t>
            </w:r>
          </w:p>
        </w:tc>
        <w:tc>
          <w:tcPr>
            <w:tcW w:w="576" w:type="pct"/>
            <w:vAlign w:val="center"/>
          </w:tcPr>
          <w:p w14:paraId="0562FD45">
            <w:pPr>
              <w:widowControl/>
              <w:spacing w:line="360" w:lineRule="auto"/>
              <w:jc w:val="center"/>
              <w:textAlignment w:val="center"/>
              <w:rPr>
                <w:rFonts w:hint="eastAsia" w:ascii="宋体" w:hAnsi="宋体" w:eastAsia="宋体" w:cs="宋体"/>
                <w:color w:val="auto"/>
                <w:kern w:val="0"/>
                <w:sz w:val="24"/>
                <w:szCs w:val="24"/>
                <w:highlight w:val="none"/>
              </w:rPr>
            </w:pPr>
          </w:p>
        </w:tc>
      </w:tr>
      <w:tr w14:paraId="10B5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exact"/>
          <w:jc w:val="center"/>
        </w:trPr>
        <w:tc>
          <w:tcPr>
            <w:tcW w:w="332" w:type="pct"/>
            <w:vAlign w:val="center"/>
          </w:tcPr>
          <w:p w14:paraId="79176F9E">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866" w:type="pct"/>
            <w:vAlign w:val="center"/>
          </w:tcPr>
          <w:p w14:paraId="0D13ACE6">
            <w:pPr>
              <w:widowControl/>
              <w:spacing w:line="24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交货期限</w:t>
            </w:r>
          </w:p>
        </w:tc>
        <w:tc>
          <w:tcPr>
            <w:tcW w:w="3224" w:type="pct"/>
            <w:vAlign w:val="center"/>
          </w:tcPr>
          <w:p w14:paraId="6A6F5C63">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合同签订之日起开始供货，按需配送，据实结算。中标供应商接采购人的采购计划7日内，将货物免费送达到指定地点。并通过检验签收，且每次供货量不论多少，须无条件配送。</w:t>
            </w:r>
          </w:p>
        </w:tc>
        <w:tc>
          <w:tcPr>
            <w:tcW w:w="576" w:type="pct"/>
            <w:vAlign w:val="center"/>
          </w:tcPr>
          <w:p w14:paraId="73A92319">
            <w:pPr>
              <w:widowControl/>
              <w:spacing w:line="360" w:lineRule="auto"/>
              <w:jc w:val="center"/>
              <w:textAlignment w:val="center"/>
              <w:rPr>
                <w:rFonts w:hint="eastAsia" w:ascii="宋体" w:hAnsi="宋体" w:eastAsia="宋体" w:cs="宋体"/>
                <w:color w:val="auto"/>
                <w:kern w:val="0"/>
                <w:sz w:val="24"/>
                <w:szCs w:val="24"/>
                <w:highlight w:val="none"/>
              </w:rPr>
            </w:pPr>
          </w:p>
        </w:tc>
      </w:tr>
      <w:tr w14:paraId="45D91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4" w:hRule="exact"/>
          <w:jc w:val="center"/>
        </w:trPr>
        <w:tc>
          <w:tcPr>
            <w:tcW w:w="332" w:type="pct"/>
            <w:vAlign w:val="center"/>
          </w:tcPr>
          <w:p w14:paraId="191A2E86">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866" w:type="pct"/>
            <w:vAlign w:val="center"/>
          </w:tcPr>
          <w:p w14:paraId="2B8273E6">
            <w:pPr>
              <w:widowControl/>
              <w:spacing w:line="24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货物质保期</w:t>
            </w:r>
          </w:p>
        </w:tc>
        <w:tc>
          <w:tcPr>
            <w:tcW w:w="3224" w:type="pct"/>
            <w:vAlign w:val="center"/>
          </w:tcPr>
          <w:p w14:paraId="0E33E32C">
            <w:pPr>
              <w:spacing w:line="288" w:lineRule="auto"/>
              <w:rPr>
                <w:rFonts w:hint="eastAsia"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供应商配送所有预包装食品均需有生产日期、质保期。外包装必须符合中华人民共和国相关法律法规的规定，用中文标明产品名称、生产厂厂名、规格、等级、采用的产品标准、质量检验合格证明、使用说明、生产日期和安全使用日期或者失效期、QS(或CS)标志且在合格有效期内及其他说明等。商品应当使用正规条形码贴于商品外包装上。剩余保质期不少于三分之二，产品剩余保质期临近该产品保质期的三分之一时，应提供无条件退货、换货服务。</w:t>
            </w:r>
          </w:p>
        </w:tc>
        <w:tc>
          <w:tcPr>
            <w:tcW w:w="576" w:type="pct"/>
            <w:vAlign w:val="center"/>
          </w:tcPr>
          <w:p w14:paraId="2EF172E8">
            <w:pPr>
              <w:widowControl/>
              <w:spacing w:line="360" w:lineRule="auto"/>
              <w:jc w:val="center"/>
              <w:textAlignment w:val="center"/>
              <w:rPr>
                <w:rFonts w:hint="eastAsia" w:ascii="宋体" w:hAnsi="宋体" w:eastAsia="宋体" w:cs="宋体"/>
                <w:color w:val="auto"/>
                <w:kern w:val="0"/>
                <w:sz w:val="24"/>
                <w:szCs w:val="24"/>
                <w:highlight w:val="none"/>
              </w:rPr>
            </w:pPr>
          </w:p>
        </w:tc>
      </w:tr>
      <w:tr w14:paraId="654D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332" w:type="pct"/>
            <w:vMerge w:val="restart"/>
            <w:vAlign w:val="center"/>
          </w:tcPr>
          <w:p w14:paraId="0FE630E1">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866" w:type="pct"/>
            <w:vMerge w:val="restart"/>
            <w:vAlign w:val="center"/>
          </w:tcPr>
          <w:p w14:paraId="54E13BF5">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tc>
        <w:tc>
          <w:tcPr>
            <w:tcW w:w="3224" w:type="pct"/>
            <w:vAlign w:val="center"/>
          </w:tcPr>
          <w:p w14:paraId="3E77FAE0">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合同签订后根据实际采购数量据实结算</w:t>
            </w:r>
          </w:p>
        </w:tc>
        <w:tc>
          <w:tcPr>
            <w:tcW w:w="576" w:type="pct"/>
            <w:vAlign w:val="center"/>
          </w:tcPr>
          <w:p w14:paraId="38A52912">
            <w:pPr>
              <w:widowControl/>
              <w:spacing w:line="360" w:lineRule="auto"/>
              <w:jc w:val="center"/>
              <w:textAlignment w:val="center"/>
              <w:rPr>
                <w:rFonts w:hint="eastAsia" w:ascii="宋体" w:hAnsi="宋体" w:eastAsia="宋体" w:cs="宋体"/>
                <w:color w:val="auto"/>
                <w:kern w:val="0"/>
                <w:sz w:val="24"/>
                <w:szCs w:val="24"/>
                <w:highlight w:val="none"/>
              </w:rPr>
            </w:pPr>
          </w:p>
        </w:tc>
      </w:tr>
      <w:tr w14:paraId="3D63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332" w:type="pct"/>
            <w:vMerge w:val="continue"/>
            <w:vAlign w:val="center"/>
          </w:tcPr>
          <w:p w14:paraId="243EECBF">
            <w:pPr>
              <w:widowControl/>
              <w:spacing w:line="360" w:lineRule="auto"/>
              <w:jc w:val="center"/>
              <w:textAlignment w:val="center"/>
              <w:rPr>
                <w:rFonts w:hint="eastAsia" w:ascii="宋体" w:hAnsi="宋体" w:eastAsia="宋体" w:cs="宋体"/>
                <w:color w:val="auto"/>
                <w:kern w:val="0"/>
                <w:sz w:val="24"/>
                <w:szCs w:val="24"/>
                <w:highlight w:val="none"/>
              </w:rPr>
            </w:pPr>
          </w:p>
        </w:tc>
        <w:tc>
          <w:tcPr>
            <w:tcW w:w="866" w:type="pct"/>
            <w:vMerge w:val="continue"/>
            <w:vAlign w:val="center"/>
          </w:tcPr>
          <w:p w14:paraId="1BE5DCB7">
            <w:pPr>
              <w:widowControl/>
              <w:spacing w:line="360" w:lineRule="auto"/>
              <w:jc w:val="center"/>
              <w:textAlignment w:val="center"/>
              <w:rPr>
                <w:rFonts w:hint="eastAsia" w:ascii="宋体" w:hAnsi="宋体" w:eastAsia="宋体" w:cs="宋体"/>
                <w:color w:val="auto"/>
                <w:kern w:val="0"/>
                <w:sz w:val="24"/>
                <w:szCs w:val="24"/>
                <w:highlight w:val="none"/>
              </w:rPr>
            </w:pPr>
          </w:p>
        </w:tc>
        <w:tc>
          <w:tcPr>
            <w:tcW w:w="3224" w:type="pct"/>
            <w:vAlign w:val="center"/>
          </w:tcPr>
          <w:p w14:paraId="5044E0A9">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成交供应必须按国家有关财税规定开具发票</w:t>
            </w:r>
          </w:p>
        </w:tc>
        <w:tc>
          <w:tcPr>
            <w:tcW w:w="576" w:type="pct"/>
            <w:vAlign w:val="center"/>
          </w:tcPr>
          <w:p w14:paraId="22589F2F">
            <w:pPr>
              <w:widowControl/>
              <w:spacing w:line="360" w:lineRule="auto"/>
              <w:jc w:val="center"/>
              <w:textAlignment w:val="center"/>
              <w:rPr>
                <w:rFonts w:hint="eastAsia" w:ascii="宋体" w:hAnsi="宋体" w:eastAsia="宋体" w:cs="宋体"/>
                <w:color w:val="auto"/>
                <w:kern w:val="0"/>
                <w:sz w:val="24"/>
                <w:szCs w:val="24"/>
                <w:highlight w:val="none"/>
              </w:rPr>
            </w:pPr>
          </w:p>
        </w:tc>
      </w:tr>
      <w:tr w14:paraId="6DD7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332" w:type="pct"/>
            <w:vMerge w:val="restart"/>
            <w:vAlign w:val="center"/>
          </w:tcPr>
          <w:p w14:paraId="13B98C1D">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866" w:type="pct"/>
            <w:vMerge w:val="restart"/>
            <w:vAlign w:val="center"/>
          </w:tcPr>
          <w:p w14:paraId="6B7046BB">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报价要求</w:t>
            </w:r>
          </w:p>
        </w:tc>
        <w:tc>
          <w:tcPr>
            <w:tcW w:w="3224" w:type="pct"/>
            <w:tcBorders>
              <w:top w:val="single" w:color="000000" w:sz="4" w:space="0"/>
              <w:bottom w:val="single" w:color="000000" w:sz="4" w:space="0"/>
            </w:tcBorders>
            <w:vAlign w:val="center"/>
          </w:tcPr>
          <w:p w14:paraId="31DD0F78">
            <w:pPr>
              <w:spacing w:line="288" w:lineRule="auto"/>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本项目采用单价报价方式进行报价，供应商报价不得超过单价最高限价，以汇总价（即所有单价之和）作为评审标准，签订合同时以供应商投标文件的单价为准。</w:t>
            </w:r>
          </w:p>
        </w:tc>
        <w:tc>
          <w:tcPr>
            <w:tcW w:w="576" w:type="pct"/>
            <w:tcBorders>
              <w:top w:val="single" w:color="000000" w:sz="4" w:space="0"/>
              <w:bottom w:val="single" w:color="000000" w:sz="4" w:space="0"/>
            </w:tcBorders>
            <w:vAlign w:val="center"/>
          </w:tcPr>
          <w:p w14:paraId="55E78B37">
            <w:pPr>
              <w:widowControl/>
              <w:spacing w:line="360" w:lineRule="auto"/>
              <w:jc w:val="center"/>
              <w:textAlignment w:val="center"/>
              <w:rPr>
                <w:rFonts w:hint="eastAsia" w:ascii="宋体" w:hAnsi="宋体" w:eastAsia="宋体" w:cs="宋体"/>
                <w:color w:val="auto"/>
                <w:kern w:val="0"/>
                <w:sz w:val="24"/>
                <w:szCs w:val="24"/>
                <w:highlight w:val="none"/>
              </w:rPr>
            </w:pPr>
          </w:p>
        </w:tc>
      </w:tr>
      <w:tr w14:paraId="57EB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332" w:type="pct"/>
            <w:vMerge w:val="continue"/>
            <w:vAlign w:val="center"/>
          </w:tcPr>
          <w:p w14:paraId="5D397EA4">
            <w:pPr>
              <w:widowControl/>
              <w:spacing w:line="360" w:lineRule="auto"/>
              <w:jc w:val="center"/>
              <w:textAlignment w:val="center"/>
              <w:rPr>
                <w:rFonts w:hint="eastAsia" w:ascii="宋体" w:hAnsi="宋体" w:eastAsia="宋体" w:cs="宋体"/>
                <w:color w:val="auto"/>
                <w:kern w:val="0"/>
                <w:sz w:val="24"/>
                <w:szCs w:val="24"/>
                <w:highlight w:val="none"/>
              </w:rPr>
            </w:pPr>
          </w:p>
        </w:tc>
        <w:tc>
          <w:tcPr>
            <w:tcW w:w="866" w:type="pct"/>
            <w:vMerge w:val="continue"/>
            <w:vAlign w:val="center"/>
          </w:tcPr>
          <w:p w14:paraId="383E4988">
            <w:pPr>
              <w:widowControl/>
              <w:spacing w:line="360" w:lineRule="auto"/>
              <w:jc w:val="center"/>
              <w:textAlignment w:val="center"/>
              <w:rPr>
                <w:rFonts w:hint="eastAsia" w:ascii="宋体" w:hAnsi="宋体" w:eastAsia="宋体" w:cs="宋体"/>
                <w:color w:val="auto"/>
                <w:kern w:val="0"/>
                <w:sz w:val="24"/>
                <w:szCs w:val="24"/>
                <w:highlight w:val="none"/>
              </w:rPr>
            </w:pPr>
          </w:p>
        </w:tc>
        <w:tc>
          <w:tcPr>
            <w:tcW w:w="3224" w:type="pct"/>
            <w:tcBorders>
              <w:top w:val="single" w:color="000000" w:sz="4" w:space="0"/>
              <w:bottom w:val="single" w:color="000000" w:sz="4" w:space="0"/>
            </w:tcBorders>
            <w:vAlign w:val="center"/>
          </w:tcPr>
          <w:p w14:paraId="0270289A">
            <w:pPr>
              <w:spacing w:line="288" w:lineRule="auto"/>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供应商的报价应包含全部产品、运送、储存和服务等费用，如有缺失，视为成交供应商免费提供，采购人不再为此项目支付任何费用。</w:t>
            </w:r>
          </w:p>
        </w:tc>
        <w:tc>
          <w:tcPr>
            <w:tcW w:w="576" w:type="pct"/>
            <w:tcBorders>
              <w:top w:val="single" w:color="000000" w:sz="4" w:space="0"/>
              <w:bottom w:val="single" w:color="000000" w:sz="4" w:space="0"/>
            </w:tcBorders>
            <w:vAlign w:val="center"/>
          </w:tcPr>
          <w:p w14:paraId="6913395D">
            <w:pPr>
              <w:widowControl/>
              <w:spacing w:line="360" w:lineRule="auto"/>
              <w:jc w:val="center"/>
              <w:textAlignment w:val="center"/>
              <w:rPr>
                <w:rFonts w:hint="eastAsia" w:ascii="宋体" w:hAnsi="宋体" w:eastAsia="宋体" w:cs="宋体"/>
                <w:color w:val="auto"/>
                <w:kern w:val="0"/>
                <w:sz w:val="24"/>
                <w:szCs w:val="24"/>
                <w:highlight w:val="none"/>
              </w:rPr>
            </w:pPr>
          </w:p>
        </w:tc>
      </w:tr>
      <w:tr w14:paraId="321D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vMerge w:val="restart"/>
            <w:vAlign w:val="center"/>
          </w:tcPr>
          <w:p w14:paraId="39C24D04">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866" w:type="pct"/>
            <w:vMerge w:val="restart"/>
            <w:vAlign w:val="center"/>
          </w:tcPr>
          <w:p w14:paraId="57B0A0FC">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color w:val="000000" w:themeColor="text1"/>
                <w:sz w:val="24"/>
                <w14:textFill>
                  <w14:solidFill>
                    <w14:schemeClr w14:val="tx1"/>
                  </w14:solidFill>
                </w14:textFill>
              </w:rPr>
              <w:t>质量要求</w:t>
            </w:r>
          </w:p>
        </w:tc>
        <w:tc>
          <w:tcPr>
            <w:tcW w:w="3224" w:type="pct"/>
            <w:tcBorders>
              <w:top w:val="single" w:color="000000" w:sz="4" w:space="0"/>
              <w:bottom w:val="single" w:color="000000" w:sz="4" w:space="0"/>
            </w:tcBorders>
            <w:vAlign w:val="center"/>
          </w:tcPr>
          <w:p w14:paraId="0C0D8671">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供应商配送货物须为全新，未开封且包装完整的产品。</w:t>
            </w:r>
          </w:p>
        </w:tc>
        <w:tc>
          <w:tcPr>
            <w:tcW w:w="576" w:type="pct"/>
            <w:tcBorders>
              <w:top w:val="single" w:color="000000" w:sz="4" w:space="0"/>
              <w:bottom w:val="single" w:color="000000" w:sz="4" w:space="0"/>
            </w:tcBorders>
            <w:vAlign w:val="center"/>
          </w:tcPr>
          <w:p w14:paraId="0E448ABE">
            <w:pPr>
              <w:widowControl/>
              <w:spacing w:line="360" w:lineRule="auto"/>
              <w:jc w:val="center"/>
              <w:textAlignment w:val="center"/>
              <w:rPr>
                <w:rFonts w:hint="eastAsia" w:ascii="宋体" w:hAnsi="宋体" w:eastAsia="宋体" w:cs="宋体"/>
                <w:color w:val="auto"/>
                <w:kern w:val="0"/>
                <w:sz w:val="24"/>
                <w:szCs w:val="24"/>
                <w:highlight w:val="none"/>
              </w:rPr>
            </w:pPr>
          </w:p>
        </w:tc>
      </w:tr>
      <w:tr w14:paraId="7A7E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2" w:type="pct"/>
            <w:vMerge w:val="continue"/>
            <w:vAlign w:val="center"/>
          </w:tcPr>
          <w:p w14:paraId="2682142B">
            <w:pPr>
              <w:widowControl/>
              <w:spacing w:line="360" w:lineRule="auto"/>
              <w:jc w:val="center"/>
              <w:textAlignment w:val="center"/>
            </w:pPr>
          </w:p>
        </w:tc>
        <w:tc>
          <w:tcPr>
            <w:tcW w:w="866" w:type="pct"/>
            <w:vMerge w:val="continue"/>
            <w:vAlign w:val="center"/>
          </w:tcPr>
          <w:p w14:paraId="1FF24BB3">
            <w:pPr>
              <w:widowControl/>
              <w:spacing w:line="360" w:lineRule="auto"/>
              <w:jc w:val="center"/>
              <w:textAlignment w:val="center"/>
            </w:pPr>
          </w:p>
        </w:tc>
        <w:tc>
          <w:tcPr>
            <w:tcW w:w="3224" w:type="pct"/>
            <w:tcBorders>
              <w:top w:val="single" w:color="000000" w:sz="4" w:space="0"/>
              <w:bottom w:val="single" w:color="000000" w:sz="4" w:space="0"/>
            </w:tcBorders>
            <w:vAlign w:val="center"/>
          </w:tcPr>
          <w:p w14:paraId="6A13B569">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供应商应提供有关商品质量说明，并应当符合该说明的质量要求。质量要求不明确的按照国家标准、行业标准履行；无国家标准、行业标准的，按照通常行业标准或符合采购目的的特定标准履行。</w:t>
            </w:r>
          </w:p>
        </w:tc>
        <w:tc>
          <w:tcPr>
            <w:tcW w:w="576" w:type="pct"/>
            <w:tcBorders>
              <w:top w:val="single" w:color="000000" w:sz="4" w:space="0"/>
              <w:bottom w:val="single" w:color="000000" w:sz="4" w:space="0"/>
            </w:tcBorders>
            <w:vAlign w:val="center"/>
          </w:tcPr>
          <w:p w14:paraId="78374B75">
            <w:pPr>
              <w:widowControl/>
              <w:spacing w:line="360" w:lineRule="auto"/>
              <w:jc w:val="center"/>
              <w:textAlignment w:val="center"/>
              <w:rPr>
                <w:rFonts w:hint="eastAsia" w:ascii="宋体" w:hAnsi="宋体" w:eastAsia="宋体" w:cs="宋体"/>
                <w:sz w:val="24"/>
                <w:szCs w:val="24"/>
                <w:lang w:val="zh-CN"/>
              </w:rPr>
            </w:pPr>
          </w:p>
        </w:tc>
      </w:tr>
      <w:tr w14:paraId="37C6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2" w:type="pct"/>
            <w:vMerge w:val="continue"/>
            <w:vAlign w:val="center"/>
          </w:tcPr>
          <w:p w14:paraId="19C1EA32">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074BBA57">
            <w:pPr>
              <w:widowControl/>
              <w:spacing w:line="360" w:lineRule="auto"/>
              <w:jc w:val="center"/>
              <w:textAlignment w:val="center"/>
              <w:rPr>
                <w:rFonts w:hint="eastAsia" w:ascii="宋体" w:hAnsi="宋体" w:eastAsia="宋体" w:cs="宋体"/>
                <w:sz w:val="24"/>
                <w:szCs w:val="24"/>
                <w:lang w:val="zh-CN"/>
              </w:rPr>
            </w:pPr>
          </w:p>
        </w:tc>
        <w:tc>
          <w:tcPr>
            <w:tcW w:w="3224" w:type="pct"/>
            <w:tcBorders>
              <w:top w:val="single" w:color="000000" w:sz="4" w:space="0"/>
              <w:bottom w:val="single" w:color="000000" w:sz="4" w:space="0"/>
            </w:tcBorders>
            <w:vAlign w:val="center"/>
          </w:tcPr>
          <w:p w14:paraId="259DCFB1">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供应商不得因市场价格变化等其他原因影响向采购人供货的品种和质量,因市场经济而引起的价格风险由供应商自行承担。</w:t>
            </w:r>
          </w:p>
        </w:tc>
        <w:tc>
          <w:tcPr>
            <w:tcW w:w="576" w:type="pct"/>
            <w:tcBorders>
              <w:top w:val="single" w:color="000000" w:sz="4" w:space="0"/>
              <w:bottom w:val="single" w:color="000000" w:sz="4" w:space="0"/>
            </w:tcBorders>
            <w:vAlign w:val="center"/>
          </w:tcPr>
          <w:p w14:paraId="6603E9C8">
            <w:pPr>
              <w:widowControl/>
              <w:spacing w:line="360" w:lineRule="auto"/>
              <w:jc w:val="center"/>
              <w:textAlignment w:val="center"/>
              <w:rPr>
                <w:rFonts w:hint="eastAsia" w:ascii="宋体" w:hAnsi="宋体" w:eastAsia="宋体" w:cs="宋体"/>
                <w:sz w:val="24"/>
                <w:szCs w:val="24"/>
                <w:lang w:val="zh-CN"/>
              </w:rPr>
            </w:pPr>
          </w:p>
        </w:tc>
      </w:tr>
      <w:tr w14:paraId="05B2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2" w:type="pct"/>
            <w:vMerge w:val="continue"/>
            <w:vAlign w:val="center"/>
          </w:tcPr>
          <w:p w14:paraId="3D4E2041">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3A61943F">
            <w:pPr>
              <w:widowControl/>
              <w:spacing w:line="360" w:lineRule="auto"/>
              <w:jc w:val="center"/>
              <w:textAlignment w:val="center"/>
              <w:rPr>
                <w:rFonts w:hint="eastAsia" w:ascii="宋体" w:hAnsi="宋体" w:eastAsia="宋体" w:cs="宋体"/>
                <w:sz w:val="24"/>
                <w:szCs w:val="24"/>
                <w:lang w:val="zh-CN"/>
              </w:rPr>
            </w:pPr>
          </w:p>
        </w:tc>
        <w:tc>
          <w:tcPr>
            <w:tcW w:w="3224" w:type="pct"/>
            <w:tcBorders>
              <w:top w:val="single" w:color="000000" w:sz="4" w:space="0"/>
              <w:bottom w:val="single" w:color="000000" w:sz="4" w:space="0"/>
            </w:tcBorders>
            <w:vAlign w:val="center"/>
          </w:tcPr>
          <w:p w14:paraId="13746131">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供应商应保证所提供的产品是合格安全的产品，一旦发现伪劣假冒产品、以次充好产品或替代产品，供应商承担全部法律责任。</w:t>
            </w:r>
          </w:p>
        </w:tc>
        <w:tc>
          <w:tcPr>
            <w:tcW w:w="576" w:type="pct"/>
            <w:tcBorders>
              <w:top w:val="single" w:color="000000" w:sz="4" w:space="0"/>
              <w:bottom w:val="single" w:color="000000" w:sz="4" w:space="0"/>
            </w:tcBorders>
            <w:vAlign w:val="center"/>
          </w:tcPr>
          <w:p w14:paraId="14396429">
            <w:pPr>
              <w:widowControl/>
              <w:spacing w:line="360" w:lineRule="auto"/>
              <w:jc w:val="center"/>
              <w:textAlignment w:val="center"/>
              <w:rPr>
                <w:rFonts w:hint="eastAsia" w:ascii="宋体" w:hAnsi="宋体" w:eastAsia="宋体" w:cs="宋体"/>
                <w:sz w:val="24"/>
                <w:szCs w:val="24"/>
                <w:lang w:val="zh-CN"/>
              </w:rPr>
            </w:pPr>
          </w:p>
        </w:tc>
      </w:tr>
      <w:tr w14:paraId="5CD2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32" w:type="pct"/>
            <w:vMerge w:val="continue"/>
            <w:vAlign w:val="center"/>
          </w:tcPr>
          <w:p w14:paraId="75CD3ACC">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06E9F997">
            <w:pPr>
              <w:widowControl/>
              <w:spacing w:line="360" w:lineRule="auto"/>
              <w:jc w:val="center"/>
              <w:textAlignment w:val="center"/>
              <w:rPr>
                <w:rFonts w:hint="eastAsia" w:ascii="宋体" w:hAnsi="宋体" w:eastAsia="宋体" w:cs="宋体"/>
                <w:sz w:val="24"/>
                <w:szCs w:val="24"/>
                <w:lang w:val="zh-CN"/>
              </w:rPr>
            </w:pPr>
          </w:p>
        </w:tc>
        <w:tc>
          <w:tcPr>
            <w:tcW w:w="3224" w:type="pct"/>
            <w:tcBorders>
              <w:top w:val="single" w:color="000000" w:sz="4" w:space="0"/>
              <w:bottom w:val="single" w:color="000000" w:sz="4" w:space="0"/>
            </w:tcBorders>
            <w:vAlign w:val="center"/>
          </w:tcPr>
          <w:p w14:paraId="2110F486">
            <w:pPr>
              <w:widowControl/>
              <w:spacing w:line="240" w:lineRule="auto"/>
              <w:jc w:val="left"/>
              <w:textAlignment w:val="center"/>
              <w:rPr>
                <w:rFonts w:hint="eastAsia" w:ascii="宋体" w:hAnsi="宋体" w:eastAsia="宋体" w:cs="宋体"/>
                <w:sz w:val="24"/>
                <w:szCs w:val="24"/>
                <w:lang w:val="zh-CN"/>
              </w:rPr>
            </w:pPr>
            <w:r>
              <w:rPr>
                <w:rFonts w:hint="eastAsia" w:ascii="宋体" w:hAnsi="宋体" w:eastAsia="宋体" w:cs="宋体"/>
                <w:sz w:val="24"/>
                <w:szCs w:val="24"/>
                <w:lang w:val="zh-CN"/>
              </w:rPr>
              <w:t>供应商所供货物送达延迟或所供货物达不到有关卫生标准给造成采购人损失的，供应商赔偿采购人的损失，并承担由此产生的相应的法律责任。</w:t>
            </w:r>
          </w:p>
        </w:tc>
        <w:tc>
          <w:tcPr>
            <w:tcW w:w="576" w:type="pct"/>
            <w:tcBorders>
              <w:top w:val="single" w:color="000000" w:sz="4" w:space="0"/>
              <w:bottom w:val="single" w:color="000000" w:sz="4" w:space="0"/>
            </w:tcBorders>
            <w:vAlign w:val="center"/>
          </w:tcPr>
          <w:p w14:paraId="1C7FD1C4">
            <w:pPr>
              <w:widowControl/>
              <w:spacing w:line="360" w:lineRule="auto"/>
              <w:jc w:val="center"/>
              <w:textAlignment w:val="center"/>
              <w:rPr>
                <w:rFonts w:hint="eastAsia" w:ascii="宋体" w:hAnsi="宋体" w:eastAsia="宋体" w:cs="宋体"/>
                <w:sz w:val="24"/>
                <w:szCs w:val="24"/>
                <w:lang w:val="zh-CN"/>
              </w:rPr>
            </w:pPr>
          </w:p>
        </w:tc>
      </w:tr>
      <w:tr w14:paraId="2605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32" w:type="pct"/>
            <w:vMerge w:val="restart"/>
            <w:vAlign w:val="center"/>
          </w:tcPr>
          <w:p w14:paraId="71950431">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866" w:type="pct"/>
            <w:vMerge w:val="restart"/>
            <w:vAlign w:val="center"/>
          </w:tcPr>
          <w:p w14:paraId="48995259">
            <w:pPr>
              <w:widowControl/>
              <w:spacing w:line="36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其他要求</w:t>
            </w:r>
          </w:p>
        </w:tc>
        <w:tc>
          <w:tcPr>
            <w:tcW w:w="3224" w:type="pct"/>
            <w:tcBorders>
              <w:top w:val="single" w:color="000000" w:sz="4" w:space="0"/>
              <w:bottom w:val="single" w:color="000000" w:sz="4" w:space="0"/>
            </w:tcBorders>
            <w:vAlign w:val="center"/>
          </w:tcPr>
          <w:p w14:paraId="64454667">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★供应商不得无故终止供货和延期供货。</w:t>
            </w:r>
          </w:p>
        </w:tc>
        <w:tc>
          <w:tcPr>
            <w:tcW w:w="576" w:type="pct"/>
            <w:tcBorders>
              <w:top w:val="single" w:color="000000" w:sz="4" w:space="0"/>
              <w:bottom w:val="single" w:color="000000" w:sz="4" w:space="0"/>
            </w:tcBorders>
            <w:vAlign w:val="center"/>
          </w:tcPr>
          <w:p w14:paraId="5AB360E9">
            <w:pPr>
              <w:widowControl/>
              <w:spacing w:line="360" w:lineRule="auto"/>
              <w:jc w:val="center"/>
              <w:textAlignment w:val="center"/>
              <w:rPr>
                <w:rFonts w:hint="eastAsia" w:ascii="宋体" w:hAnsi="宋体" w:eastAsia="宋体" w:cs="宋体"/>
                <w:color w:val="auto"/>
                <w:kern w:val="0"/>
                <w:sz w:val="24"/>
                <w:szCs w:val="24"/>
                <w:highlight w:val="none"/>
              </w:rPr>
            </w:pPr>
          </w:p>
        </w:tc>
      </w:tr>
      <w:tr w14:paraId="3F53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32" w:type="pct"/>
            <w:vMerge w:val="continue"/>
            <w:vAlign w:val="center"/>
          </w:tcPr>
          <w:p w14:paraId="74D5C578">
            <w:pPr>
              <w:widowControl/>
              <w:spacing w:line="360" w:lineRule="auto"/>
              <w:jc w:val="center"/>
              <w:textAlignment w:val="center"/>
            </w:pPr>
          </w:p>
        </w:tc>
        <w:tc>
          <w:tcPr>
            <w:tcW w:w="866" w:type="pct"/>
            <w:vMerge w:val="continue"/>
            <w:vAlign w:val="center"/>
          </w:tcPr>
          <w:p w14:paraId="4E93818D">
            <w:pPr>
              <w:widowControl/>
              <w:spacing w:line="360" w:lineRule="auto"/>
              <w:jc w:val="center"/>
              <w:textAlignment w:val="center"/>
            </w:pPr>
          </w:p>
        </w:tc>
        <w:tc>
          <w:tcPr>
            <w:tcW w:w="3224" w:type="pct"/>
            <w:tcBorders>
              <w:top w:val="single" w:color="000000" w:sz="4" w:space="0"/>
              <w:bottom w:val="single" w:color="000000" w:sz="4" w:space="0"/>
            </w:tcBorders>
            <w:vAlign w:val="center"/>
          </w:tcPr>
          <w:p w14:paraId="20AC9019">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★在合理使用期限内，由于供应商提供的商品存在其他质量问题导致采购人投诉或者受到有关政府部门查处的。一切经济责任和法律责任均由供应商负责，采购人有权解除合同并要求供应商进行赔偿。</w:t>
            </w:r>
          </w:p>
        </w:tc>
        <w:tc>
          <w:tcPr>
            <w:tcW w:w="576" w:type="pct"/>
            <w:tcBorders>
              <w:top w:val="single" w:color="000000" w:sz="4" w:space="0"/>
              <w:bottom w:val="single" w:color="000000" w:sz="4" w:space="0"/>
            </w:tcBorders>
            <w:vAlign w:val="center"/>
          </w:tcPr>
          <w:p w14:paraId="683FCF31">
            <w:pPr>
              <w:widowControl/>
              <w:spacing w:line="360" w:lineRule="auto"/>
              <w:jc w:val="center"/>
              <w:textAlignment w:val="center"/>
              <w:rPr>
                <w:rFonts w:hint="eastAsia" w:ascii="宋体" w:hAnsi="宋体" w:eastAsia="宋体" w:cs="宋体"/>
                <w:sz w:val="24"/>
                <w:szCs w:val="24"/>
                <w:lang w:val="zh-CN"/>
              </w:rPr>
            </w:pPr>
          </w:p>
        </w:tc>
      </w:tr>
      <w:tr w14:paraId="32A9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32" w:type="pct"/>
            <w:vMerge w:val="continue"/>
            <w:vAlign w:val="center"/>
          </w:tcPr>
          <w:p w14:paraId="7AC240B4">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15718570">
            <w:pPr>
              <w:widowControl/>
              <w:spacing w:line="360" w:lineRule="auto"/>
              <w:jc w:val="center"/>
              <w:textAlignment w:val="center"/>
              <w:rPr>
                <w:rFonts w:hint="eastAsia" w:ascii="宋体" w:hAnsi="宋体" w:eastAsia="宋体" w:cs="宋体"/>
                <w:sz w:val="24"/>
                <w:szCs w:val="24"/>
                <w:lang w:val="zh-CN"/>
              </w:rPr>
            </w:pPr>
          </w:p>
        </w:tc>
        <w:tc>
          <w:tcPr>
            <w:tcW w:w="3224" w:type="pct"/>
            <w:tcBorders>
              <w:top w:val="single" w:color="000000" w:sz="4" w:space="0"/>
              <w:bottom w:val="single" w:color="000000" w:sz="4" w:space="0"/>
            </w:tcBorders>
            <w:vAlign w:val="center"/>
          </w:tcPr>
          <w:p w14:paraId="4A3FFCA9">
            <w:pPr>
              <w:widowControl/>
              <w:spacing w:line="360" w:lineRule="auto"/>
              <w:jc w:val="left"/>
              <w:textAlignment w:val="center"/>
              <w:rPr>
                <w:rFonts w:hint="eastAsia" w:ascii="宋体" w:hAnsi="宋体" w:eastAsia="宋体" w:cs="宋体"/>
                <w:sz w:val="24"/>
                <w:szCs w:val="24"/>
                <w:lang w:val="zh-CN"/>
              </w:rPr>
            </w:pPr>
            <w:r>
              <w:rPr>
                <w:rFonts w:hint="eastAsia" w:ascii="宋体" w:hAnsi="宋体" w:eastAsia="宋体" w:cs="宋体"/>
                <w:sz w:val="24"/>
                <w:szCs w:val="24"/>
                <w:lang w:val="zh-CN"/>
              </w:rPr>
              <w:t>★质保期内提供免费电话支持服务。</w:t>
            </w:r>
          </w:p>
        </w:tc>
        <w:tc>
          <w:tcPr>
            <w:tcW w:w="576" w:type="pct"/>
            <w:tcBorders>
              <w:top w:val="single" w:color="000000" w:sz="4" w:space="0"/>
              <w:bottom w:val="single" w:color="000000" w:sz="4" w:space="0"/>
            </w:tcBorders>
            <w:vAlign w:val="center"/>
          </w:tcPr>
          <w:p w14:paraId="3B58B4D3">
            <w:pPr>
              <w:widowControl/>
              <w:spacing w:line="360" w:lineRule="auto"/>
              <w:jc w:val="center"/>
              <w:textAlignment w:val="center"/>
              <w:rPr>
                <w:rFonts w:hint="eastAsia" w:ascii="宋体" w:hAnsi="宋体" w:eastAsia="宋体" w:cs="宋体"/>
                <w:sz w:val="24"/>
                <w:szCs w:val="24"/>
                <w:lang w:val="zh-CN"/>
              </w:rPr>
            </w:pPr>
          </w:p>
        </w:tc>
      </w:tr>
      <w:tr w14:paraId="2C07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exact"/>
          <w:jc w:val="center"/>
        </w:trPr>
        <w:tc>
          <w:tcPr>
            <w:tcW w:w="332" w:type="pct"/>
            <w:vAlign w:val="center"/>
          </w:tcPr>
          <w:p w14:paraId="1082CCF3">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866" w:type="pct"/>
            <w:vAlign w:val="center"/>
          </w:tcPr>
          <w:p w14:paraId="38A0ACD5">
            <w:pPr>
              <w:widowControl/>
              <w:spacing w:line="36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违约条款</w:t>
            </w:r>
          </w:p>
        </w:tc>
        <w:tc>
          <w:tcPr>
            <w:tcW w:w="3224" w:type="pct"/>
            <w:tcBorders>
              <w:top w:val="single" w:color="000000" w:sz="4" w:space="0"/>
              <w:bottom w:val="single" w:color="000000" w:sz="4" w:space="0"/>
            </w:tcBorders>
            <w:vAlign w:val="center"/>
          </w:tcPr>
          <w:p w14:paraId="2324373F">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olor w:val="000000" w:themeColor="text1"/>
                <w:sz w:val="24"/>
                <w14:textFill>
                  <w14:solidFill>
                    <w14:schemeClr w14:val="tx1"/>
                  </w14:solidFill>
                </w14:textFill>
              </w:rPr>
              <w:t>成交供应商配送的货物、提供的服务不符合竞争性磋商文件、响应文件或本合同规定的，采购人有权拒收。成交供应商无正当理由未能按本合同规定的交货时间交付货物或提供服务，成交供应商需承担违约责任。采购人无正当理由拒收货物或接受服务，到期拒付货物或服务款项的，逾期付款，采购人需承担违约责任。</w:t>
            </w:r>
          </w:p>
        </w:tc>
        <w:tc>
          <w:tcPr>
            <w:tcW w:w="576" w:type="pct"/>
            <w:tcBorders>
              <w:top w:val="single" w:color="000000" w:sz="4" w:space="0"/>
              <w:bottom w:val="single" w:color="000000" w:sz="4" w:space="0"/>
            </w:tcBorders>
            <w:vAlign w:val="center"/>
          </w:tcPr>
          <w:p w14:paraId="335F0964">
            <w:pPr>
              <w:widowControl/>
              <w:spacing w:line="360" w:lineRule="auto"/>
              <w:jc w:val="center"/>
              <w:textAlignment w:val="center"/>
              <w:rPr>
                <w:rFonts w:hint="eastAsia" w:ascii="宋体" w:hAnsi="宋体" w:eastAsia="宋体" w:cs="宋体"/>
                <w:color w:val="auto"/>
                <w:kern w:val="0"/>
                <w:sz w:val="24"/>
                <w:szCs w:val="24"/>
                <w:highlight w:val="none"/>
              </w:rPr>
            </w:pPr>
          </w:p>
        </w:tc>
      </w:tr>
    </w:tbl>
    <w:p w14:paraId="32AE2D54">
      <w:pPr>
        <w:rPr>
          <w:rFonts w:hint="eastAsia"/>
        </w:rPr>
      </w:pPr>
    </w:p>
    <w:p w14:paraId="56E841E3">
      <w:pPr>
        <w:adjustRightInd w:val="0"/>
        <w:snapToGrid w:val="0"/>
        <w:spacing w:line="520" w:lineRule="exact"/>
        <w:jc w:val="center"/>
        <w:outlineLvl w:val="0"/>
        <w:rPr>
          <w:b/>
          <w:color w:val="auto"/>
          <w:sz w:val="44"/>
          <w:highlight w:val="none"/>
        </w:rPr>
      </w:pPr>
      <w:r>
        <w:rPr>
          <w:b/>
          <w:color w:val="auto"/>
          <w:sz w:val="44"/>
          <w:highlight w:val="none"/>
        </w:rPr>
        <w:t>第四章评审办法及评分标准</w:t>
      </w:r>
    </w:p>
    <w:p w14:paraId="5A54BDF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一、评审方法</w:t>
      </w:r>
    </w:p>
    <w:p w14:paraId="562772DA">
      <w:pPr>
        <w:spacing w:line="440" w:lineRule="exact"/>
        <w:ind w:firstLine="480" w:firstLineChars="200"/>
        <w:rPr>
          <w:color w:val="auto"/>
          <w:sz w:val="24"/>
          <w:szCs w:val="21"/>
          <w:highlight w:val="none"/>
        </w:rPr>
      </w:pPr>
      <w:r>
        <w:rPr>
          <w:rFonts w:hint="eastAsia"/>
          <w:color w:val="auto"/>
          <w:sz w:val="24"/>
          <w:szCs w:val="21"/>
          <w:highlight w:val="none"/>
        </w:rPr>
        <w:t>本次评审采用综合评分法。即满分</w:t>
      </w:r>
      <w:r>
        <w:rPr>
          <w:color w:val="auto"/>
          <w:sz w:val="24"/>
          <w:szCs w:val="21"/>
          <w:highlight w:val="none"/>
        </w:rPr>
        <w:t>100</w:t>
      </w:r>
      <w:r>
        <w:rPr>
          <w:rFonts w:hint="eastAsia"/>
          <w:color w:val="auto"/>
          <w:sz w:val="24"/>
          <w:szCs w:val="21"/>
          <w:highlight w:val="none"/>
        </w:rPr>
        <w:t>分，其中商务评议占</w:t>
      </w:r>
      <w:r>
        <w:rPr>
          <w:rFonts w:hint="eastAsia"/>
          <w:color w:val="auto"/>
          <w:sz w:val="24"/>
          <w:szCs w:val="21"/>
          <w:highlight w:val="none"/>
          <w:lang w:val="en-US" w:eastAsia="zh-CN"/>
        </w:rPr>
        <w:t>20</w:t>
      </w:r>
      <w:r>
        <w:rPr>
          <w:rFonts w:hint="eastAsia"/>
          <w:color w:val="auto"/>
          <w:sz w:val="24"/>
          <w:szCs w:val="21"/>
          <w:highlight w:val="none"/>
        </w:rPr>
        <w:t>％，技术服务评议占</w:t>
      </w:r>
      <w:r>
        <w:rPr>
          <w:rFonts w:hint="eastAsia"/>
          <w:color w:val="auto"/>
          <w:sz w:val="24"/>
          <w:szCs w:val="21"/>
          <w:highlight w:val="none"/>
          <w:lang w:val="en-US" w:eastAsia="zh-CN"/>
        </w:rPr>
        <w:t>50</w:t>
      </w:r>
      <w:r>
        <w:rPr>
          <w:rFonts w:hint="eastAsia"/>
          <w:color w:val="auto"/>
          <w:sz w:val="24"/>
          <w:szCs w:val="21"/>
          <w:highlight w:val="none"/>
        </w:rPr>
        <w:t>％，价格评议占</w:t>
      </w:r>
      <w:r>
        <w:rPr>
          <w:rFonts w:hint="eastAsia"/>
          <w:color w:val="auto"/>
          <w:sz w:val="24"/>
          <w:szCs w:val="21"/>
          <w:highlight w:val="none"/>
          <w:lang w:val="en-US" w:eastAsia="zh-CN"/>
        </w:rPr>
        <w:t>30</w:t>
      </w:r>
      <w:r>
        <w:rPr>
          <w:color w:val="auto"/>
          <w:sz w:val="24"/>
          <w:szCs w:val="21"/>
          <w:highlight w:val="none"/>
        </w:rPr>
        <w:t>%</w:t>
      </w:r>
      <w:r>
        <w:rPr>
          <w:rFonts w:hint="eastAsia"/>
          <w:color w:val="auto"/>
          <w:sz w:val="24"/>
          <w:szCs w:val="21"/>
          <w:highlight w:val="none"/>
        </w:rPr>
        <w:t>。</w:t>
      </w:r>
    </w:p>
    <w:p w14:paraId="79511B1C">
      <w:pPr>
        <w:spacing w:line="440" w:lineRule="exact"/>
        <w:ind w:firstLine="480" w:firstLineChars="200"/>
        <w:rPr>
          <w:color w:val="auto"/>
          <w:sz w:val="24"/>
          <w:szCs w:val="21"/>
          <w:highlight w:val="none"/>
        </w:rPr>
      </w:pPr>
      <w:r>
        <w:rPr>
          <w:rFonts w:hint="eastAsia"/>
          <w:color w:val="auto"/>
          <w:sz w:val="24"/>
          <w:szCs w:val="21"/>
          <w:highlight w:val="none"/>
        </w:rPr>
        <w:t>二、评审步骤</w:t>
      </w:r>
    </w:p>
    <w:p w14:paraId="2B2A2762">
      <w:pPr>
        <w:spacing w:line="440" w:lineRule="exact"/>
        <w:ind w:firstLine="480" w:firstLineChars="200"/>
        <w:rPr>
          <w:color w:val="auto"/>
          <w:sz w:val="24"/>
          <w:szCs w:val="21"/>
          <w:highlight w:val="none"/>
        </w:rPr>
      </w:pPr>
      <w:r>
        <w:rPr>
          <w:rFonts w:hint="eastAsia"/>
          <w:color w:val="auto"/>
          <w:sz w:val="24"/>
          <w:szCs w:val="21"/>
          <w:highlight w:val="none"/>
        </w:rPr>
        <w:t>磋商小组对响应文件的评审分为资格性检查和符合性检查、技术服务评议、商务合同条款评议和价格评议。</w:t>
      </w:r>
    </w:p>
    <w:p w14:paraId="6A5C4E97">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w:t>
      </w:r>
    </w:p>
    <w:p w14:paraId="3B252218">
      <w:pPr>
        <w:spacing w:line="440" w:lineRule="exact"/>
        <w:ind w:firstLine="480" w:firstLineChars="200"/>
        <w:rPr>
          <w:color w:val="auto"/>
          <w:sz w:val="24"/>
          <w:szCs w:val="21"/>
          <w:highlight w:val="none"/>
        </w:rPr>
      </w:pPr>
      <w:r>
        <w:rPr>
          <w:rFonts w:hint="eastAsia"/>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05B0BC16">
      <w:pPr>
        <w:spacing w:line="440" w:lineRule="exact"/>
        <w:ind w:firstLine="480" w:firstLineChars="200"/>
        <w:rPr>
          <w:color w:val="auto"/>
          <w:sz w:val="24"/>
          <w:szCs w:val="21"/>
          <w:highlight w:val="none"/>
        </w:rPr>
      </w:pPr>
      <w:r>
        <w:rPr>
          <w:rFonts w:hint="eastAsia"/>
          <w:color w:val="auto"/>
          <w:sz w:val="24"/>
          <w:szCs w:val="21"/>
          <w:highlight w:val="none"/>
        </w:rPr>
        <w:t>（二）技术服务评议（占</w:t>
      </w:r>
      <w:r>
        <w:rPr>
          <w:rFonts w:hint="eastAsia"/>
          <w:color w:val="auto"/>
          <w:sz w:val="24"/>
          <w:szCs w:val="21"/>
          <w:highlight w:val="none"/>
          <w:lang w:val="en-US" w:eastAsia="zh-CN"/>
        </w:rPr>
        <w:t>50</w:t>
      </w:r>
      <w:r>
        <w:rPr>
          <w:color w:val="auto"/>
          <w:sz w:val="24"/>
          <w:szCs w:val="21"/>
          <w:highlight w:val="none"/>
        </w:rPr>
        <w:t>%</w:t>
      </w:r>
      <w:r>
        <w:rPr>
          <w:rFonts w:hint="eastAsia"/>
          <w:color w:val="auto"/>
          <w:sz w:val="24"/>
          <w:szCs w:val="21"/>
          <w:highlight w:val="none"/>
        </w:rPr>
        <w:t>）</w:t>
      </w:r>
    </w:p>
    <w:p w14:paraId="5462C788">
      <w:pPr>
        <w:spacing w:line="440" w:lineRule="exact"/>
        <w:ind w:firstLine="480" w:firstLineChars="200"/>
        <w:rPr>
          <w:color w:val="auto"/>
          <w:sz w:val="24"/>
          <w:szCs w:val="21"/>
          <w:highlight w:val="none"/>
        </w:rPr>
      </w:pPr>
      <w:r>
        <w:rPr>
          <w:rFonts w:hint="eastAsia"/>
          <w:color w:val="auto"/>
          <w:sz w:val="24"/>
          <w:szCs w:val="21"/>
          <w:highlight w:val="none"/>
        </w:rPr>
        <w:t>磋商小组依据《技术服务评分表》规定分值及标准，对照各供应商响应文件的响应情况进行评分，详见《技术服务评分表》。</w:t>
      </w:r>
    </w:p>
    <w:p w14:paraId="4C13C213">
      <w:pPr>
        <w:spacing w:line="440" w:lineRule="exact"/>
        <w:ind w:firstLine="480" w:firstLineChars="200"/>
        <w:rPr>
          <w:color w:val="auto"/>
          <w:sz w:val="24"/>
          <w:szCs w:val="21"/>
          <w:highlight w:val="none"/>
        </w:rPr>
      </w:pPr>
      <w:r>
        <w:rPr>
          <w:rFonts w:hint="eastAsia"/>
          <w:color w:val="auto"/>
          <w:sz w:val="24"/>
          <w:szCs w:val="21"/>
          <w:highlight w:val="none"/>
        </w:rPr>
        <w:t>（三）商务和合同条款评议（占</w:t>
      </w:r>
      <w:r>
        <w:rPr>
          <w:rFonts w:hint="eastAsia"/>
          <w:color w:val="auto"/>
          <w:sz w:val="24"/>
          <w:szCs w:val="21"/>
          <w:highlight w:val="none"/>
          <w:lang w:val="en-US" w:eastAsia="zh-CN"/>
        </w:rPr>
        <w:t>20</w:t>
      </w:r>
      <w:r>
        <w:rPr>
          <w:color w:val="auto"/>
          <w:sz w:val="24"/>
          <w:szCs w:val="21"/>
          <w:highlight w:val="none"/>
        </w:rPr>
        <w:t>%</w:t>
      </w:r>
      <w:r>
        <w:rPr>
          <w:rFonts w:hint="eastAsia"/>
          <w:color w:val="auto"/>
          <w:sz w:val="24"/>
          <w:szCs w:val="21"/>
          <w:highlight w:val="none"/>
        </w:rPr>
        <w:t>）</w:t>
      </w:r>
    </w:p>
    <w:p w14:paraId="0D363FB8">
      <w:pPr>
        <w:spacing w:line="440" w:lineRule="exact"/>
        <w:ind w:firstLine="480" w:firstLineChars="200"/>
        <w:rPr>
          <w:color w:val="auto"/>
          <w:sz w:val="24"/>
          <w:szCs w:val="21"/>
          <w:highlight w:val="none"/>
        </w:rPr>
      </w:pPr>
      <w:r>
        <w:rPr>
          <w:rFonts w:hint="eastAsia"/>
          <w:color w:val="auto"/>
          <w:sz w:val="24"/>
          <w:szCs w:val="21"/>
          <w:highlight w:val="none"/>
        </w:rPr>
        <w:t>磋商小组依据《商务和合同条款评分表》规定分值及标准，对照各供应商响应文件的响应情况进行评分，详见《商务和合同条款评分表》。</w:t>
      </w:r>
    </w:p>
    <w:p w14:paraId="1E4DAA13">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val="en-US" w:eastAsia="zh-CN"/>
        </w:rPr>
        <w:t>（四）</w:t>
      </w:r>
      <w:r>
        <w:rPr>
          <w:rFonts w:hint="eastAsia" w:ascii="Times New Roman" w:hAnsi="Times New Roman" w:eastAsia="宋体" w:cs="Times New Roman"/>
          <w:color w:val="auto"/>
          <w:sz w:val="24"/>
          <w:szCs w:val="21"/>
          <w:highlight w:val="none"/>
        </w:rPr>
        <w:t>价格评议（占</w:t>
      </w:r>
      <w:r>
        <w:rPr>
          <w:rFonts w:hint="eastAsia" w:ascii="Times New Roman" w:hAnsi="Times New Roman" w:cs="Times New Roman"/>
          <w:color w:val="auto"/>
          <w:sz w:val="24"/>
          <w:szCs w:val="21"/>
          <w:highlight w:val="none"/>
          <w:lang w:val="en-US" w:eastAsia="zh-CN"/>
        </w:rPr>
        <w:t>30</w:t>
      </w:r>
      <w:r>
        <w:rPr>
          <w:rFonts w:hint="eastAsia" w:ascii="Times New Roman" w:hAnsi="Times New Roman" w:eastAsia="宋体" w:cs="Times New Roman"/>
          <w:color w:val="auto"/>
          <w:sz w:val="24"/>
          <w:szCs w:val="21"/>
          <w:highlight w:val="none"/>
        </w:rPr>
        <w:t>%）</w:t>
      </w:r>
    </w:p>
    <w:p w14:paraId="2ADB204B">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0分</w:t>
      </w:r>
    </w:p>
    <w:p w14:paraId="6880D8C8">
      <w:pPr>
        <w:spacing w:line="440" w:lineRule="exact"/>
        <w:ind w:firstLine="480" w:firstLineChars="200"/>
        <w:rPr>
          <w:color w:val="auto"/>
          <w:sz w:val="24"/>
          <w:szCs w:val="21"/>
          <w:highlight w:val="none"/>
        </w:rPr>
      </w:pPr>
      <w:r>
        <w:rPr>
          <w:rFonts w:hint="eastAsia"/>
          <w:color w:val="auto"/>
          <w:sz w:val="24"/>
          <w:szCs w:val="21"/>
          <w:highlight w:val="none"/>
        </w:rPr>
        <w:t>（五）推荐成交候选供应商</w:t>
      </w:r>
    </w:p>
    <w:p w14:paraId="5D6A69E2">
      <w:pPr>
        <w:spacing w:line="440" w:lineRule="exact"/>
        <w:ind w:firstLine="480" w:firstLineChars="200"/>
        <w:rPr>
          <w:color w:val="auto"/>
          <w:sz w:val="24"/>
          <w:szCs w:val="21"/>
          <w:highlight w:val="none"/>
        </w:rPr>
      </w:pPr>
      <w:r>
        <w:rPr>
          <w:rFonts w:hint="eastAsia"/>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7163B919">
      <w:pPr>
        <w:spacing w:line="440" w:lineRule="exact"/>
        <w:ind w:firstLine="480" w:firstLineChars="200"/>
        <w:rPr>
          <w:rFonts w:hint="eastAsia"/>
          <w:color w:val="auto"/>
          <w:sz w:val="24"/>
          <w:szCs w:val="21"/>
          <w:highlight w:val="none"/>
        </w:rPr>
      </w:pPr>
      <w:r>
        <w:rPr>
          <w:rFonts w:hint="eastAsia"/>
          <w:color w:val="auto"/>
          <w:sz w:val="24"/>
          <w:szCs w:val="21"/>
          <w:highlight w:val="none"/>
        </w:rPr>
        <w:t>三、评分（评审）标准</w:t>
      </w:r>
    </w:p>
    <w:p w14:paraId="293FDA24">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495"/>
      </w:tblGrid>
      <w:tr w14:paraId="4FC3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8037F68">
            <w:pPr>
              <w:jc w:val="center"/>
              <w:rPr>
                <w:color w:val="auto"/>
                <w:sz w:val="24"/>
                <w:szCs w:val="24"/>
              </w:rPr>
            </w:pPr>
            <w:r>
              <w:rPr>
                <w:rFonts w:hint="eastAsia"/>
                <w:color w:val="auto"/>
                <w:sz w:val="24"/>
                <w:szCs w:val="24"/>
              </w:rPr>
              <w:t>序号</w:t>
            </w:r>
          </w:p>
        </w:tc>
        <w:tc>
          <w:tcPr>
            <w:tcW w:w="4575" w:type="pct"/>
            <w:noWrap w:val="0"/>
            <w:vAlign w:val="center"/>
          </w:tcPr>
          <w:p w14:paraId="60AF284A">
            <w:pPr>
              <w:jc w:val="center"/>
              <w:rPr>
                <w:color w:val="auto"/>
                <w:sz w:val="24"/>
                <w:szCs w:val="24"/>
              </w:rPr>
            </w:pPr>
            <w:r>
              <w:rPr>
                <w:rFonts w:hint="eastAsia"/>
                <w:color w:val="auto"/>
                <w:sz w:val="24"/>
                <w:szCs w:val="24"/>
              </w:rPr>
              <w:t xml:space="preserve">内  </w:t>
            </w:r>
            <w:r>
              <w:rPr>
                <w:color w:val="auto"/>
                <w:sz w:val="24"/>
                <w:szCs w:val="24"/>
              </w:rPr>
              <w:t xml:space="preserve">  </w:t>
            </w:r>
            <w:r>
              <w:rPr>
                <w:rFonts w:hint="eastAsia"/>
                <w:color w:val="auto"/>
                <w:sz w:val="24"/>
                <w:szCs w:val="24"/>
              </w:rPr>
              <w:t>容</w:t>
            </w:r>
          </w:p>
        </w:tc>
      </w:tr>
      <w:tr w14:paraId="4AED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4" w:type="pct"/>
            <w:noWrap w:val="0"/>
            <w:vAlign w:val="center"/>
          </w:tcPr>
          <w:p w14:paraId="59C3C98E">
            <w:pPr>
              <w:jc w:val="center"/>
              <w:rPr>
                <w:color w:val="auto"/>
                <w:sz w:val="24"/>
                <w:szCs w:val="24"/>
              </w:rPr>
            </w:pPr>
            <w:r>
              <w:rPr>
                <w:rFonts w:hint="eastAsia"/>
                <w:color w:val="auto"/>
                <w:sz w:val="24"/>
                <w:szCs w:val="24"/>
              </w:rPr>
              <w:t>1</w:t>
            </w:r>
          </w:p>
        </w:tc>
        <w:tc>
          <w:tcPr>
            <w:tcW w:w="4575" w:type="pct"/>
            <w:noWrap w:val="0"/>
            <w:vAlign w:val="top"/>
          </w:tcPr>
          <w:p w14:paraId="4B88BCBF">
            <w:pPr>
              <w:jc w:val="left"/>
              <w:rPr>
                <w:color w:val="auto"/>
                <w:sz w:val="24"/>
                <w:szCs w:val="24"/>
              </w:rPr>
            </w:pPr>
            <w:r>
              <w:rPr>
                <w:rFonts w:hint="eastAsia"/>
                <w:color w:val="auto"/>
                <w:sz w:val="24"/>
                <w:szCs w:val="24"/>
                <w:lang w:eastAsia="zh-CN"/>
              </w:rPr>
              <w:t>磋商</w:t>
            </w:r>
            <w:r>
              <w:rPr>
                <w:color w:val="auto"/>
                <w:sz w:val="24"/>
                <w:szCs w:val="24"/>
              </w:rPr>
              <w:t>书</w:t>
            </w:r>
          </w:p>
        </w:tc>
      </w:tr>
      <w:tr w14:paraId="0711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4" w:type="pct"/>
            <w:noWrap w:val="0"/>
            <w:vAlign w:val="center"/>
          </w:tcPr>
          <w:p w14:paraId="1B66BF72">
            <w:pPr>
              <w:jc w:val="center"/>
              <w:rPr>
                <w:color w:val="auto"/>
                <w:sz w:val="24"/>
                <w:szCs w:val="24"/>
              </w:rPr>
            </w:pPr>
            <w:r>
              <w:rPr>
                <w:rFonts w:hint="eastAsia"/>
                <w:color w:val="auto"/>
                <w:sz w:val="24"/>
                <w:szCs w:val="24"/>
              </w:rPr>
              <w:t>2</w:t>
            </w:r>
          </w:p>
        </w:tc>
        <w:tc>
          <w:tcPr>
            <w:tcW w:w="4575" w:type="pct"/>
            <w:noWrap w:val="0"/>
            <w:vAlign w:val="top"/>
          </w:tcPr>
          <w:p w14:paraId="307B6BF9">
            <w:pPr>
              <w:jc w:val="left"/>
              <w:rPr>
                <w:color w:val="auto"/>
                <w:sz w:val="24"/>
                <w:szCs w:val="24"/>
              </w:rPr>
            </w:pPr>
            <w:r>
              <w:rPr>
                <w:color w:val="auto"/>
                <w:sz w:val="24"/>
                <w:szCs w:val="24"/>
              </w:rPr>
              <w:t>报价组成情况表</w:t>
            </w:r>
          </w:p>
        </w:tc>
      </w:tr>
      <w:tr w14:paraId="4289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328FEA0">
            <w:pPr>
              <w:jc w:val="center"/>
              <w:rPr>
                <w:color w:val="auto"/>
                <w:sz w:val="24"/>
                <w:szCs w:val="24"/>
              </w:rPr>
            </w:pPr>
            <w:r>
              <w:rPr>
                <w:rFonts w:hint="eastAsia"/>
                <w:color w:val="auto"/>
                <w:sz w:val="24"/>
                <w:szCs w:val="24"/>
              </w:rPr>
              <w:t>3</w:t>
            </w:r>
          </w:p>
        </w:tc>
        <w:tc>
          <w:tcPr>
            <w:tcW w:w="4575" w:type="pct"/>
            <w:noWrap w:val="0"/>
            <w:vAlign w:val="top"/>
          </w:tcPr>
          <w:p w14:paraId="2731DDF5">
            <w:pPr>
              <w:jc w:val="left"/>
              <w:rPr>
                <w:color w:val="auto"/>
                <w:sz w:val="24"/>
                <w:szCs w:val="24"/>
              </w:rPr>
            </w:pPr>
            <w:r>
              <w:rPr>
                <w:color w:val="auto"/>
                <w:sz w:val="24"/>
                <w:szCs w:val="24"/>
              </w:rPr>
              <w:t>货物（服务）清单</w:t>
            </w:r>
          </w:p>
        </w:tc>
      </w:tr>
      <w:tr w14:paraId="335F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459C693">
            <w:pPr>
              <w:jc w:val="center"/>
              <w:rPr>
                <w:color w:val="auto"/>
                <w:sz w:val="24"/>
                <w:szCs w:val="24"/>
              </w:rPr>
            </w:pPr>
            <w:r>
              <w:rPr>
                <w:rFonts w:hint="eastAsia"/>
                <w:color w:val="auto"/>
                <w:sz w:val="24"/>
                <w:szCs w:val="24"/>
              </w:rPr>
              <w:t>4</w:t>
            </w:r>
          </w:p>
        </w:tc>
        <w:tc>
          <w:tcPr>
            <w:tcW w:w="4575" w:type="pct"/>
            <w:noWrap w:val="0"/>
            <w:vAlign w:val="top"/>
          </w:tcPr>
          <w:p w14:paraId="7BAE271E">
            <w:pPr>
              <w:jc w:val="left"/>
              <w:rPr>
                <w:color w:val="auto"/>
                <w:sz w:val="24"/>
                <w:szCs w:val="24"/>
              </w:rPr>
            </w:pPr>
            <w:r>
              <w:rPr>
                <w:color w:val="auto"/>
                <w:sz w:val="24"/>
                <w:szCs w:val="24"/>
              </w:rPr>
              <w:t>资格性</w:t>
            </w:r>
            <w:r>
              <w:rPr>
                <w:rFonts w:hint="eastAsia"/>
                <w:color w:val="auto"/>
                <w:sz w:val="24"/>
                <w:szCs w:val="24"/>
              </w:rPr>
              <w:t>检查和</w:t>
            </w:r>
            <w:r>
              <w:rPr>
                <w:color w:val="auto"/>
                <w:sz w:val="24"/>
                <w:szCs w:val="24"/>
              </w:rPr>
              <w:t>符合性检查对照表</w:t>
            </w:r>
          </w:p>
        </w:tc>
      </w:tr>
      <w:tr w14:paraId="3A57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8015313">
            <w:pPr>
              <w:jc w:val="center"/>
              <w:rPr>
                <w:color w:val="auto"/>
                <w:sz w:val="24"/>
                <w:szCs w:val="24"/>
              </w:rPr>
            </w:pPr>
            <w:r>
              <w:rPr>
                <w:color w:val="auto"/>
                <w:sz w:val="24"/>
                <w:szCs w:val="24"/>
              </w:rPr>
              <w:t>5</w:t>
            </w:r>
          </w:p>
        </w:tc>
        <w:tc>
          <w:tcPr>
            <w:tcW w:w="4575" w:type="pct"/>
            <w:noWrap w:val="0"/>
            <w:vAlign w:val="top"/>
          </w:tcPr>
          <w:p w14:paraId="1EA26321">
            <w:pPr>
              <w:jc w:val="left"/>
              <w:rPr>
                <w:color w:val="auto"/>
                <w:sz w:val="24"/>
                <w:szCs w:val="24"/>
              </w:rPr>
            </w:pPr>
            <w:r>
              <w:rPr>
                <w:color w:val="auto"/>
                <w:sz w:val="24"/>
                <w:szCs w:val="24"/>
              </w:rPr>
              <w:t>技术响应、偏离情况说明表</w:t>
            </w:r>
          </w:p>
        </w:tc>
      </w:tr>
      <w:tr w14:paraId="104B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724C925">
            <w:pPr>
              <w:jc w:val="center"/>
              <w:rPr>
                <w:color w:val="auto"/>
                <w:sz w:val="24"/>
                <w:szCs w:val="24"/>
              </w:rPr>
            </w:pPr>
            <w:r>
              <w:rPr>
                <w:color w:val="auto"/>
                <w:sz w:val="24"/>
                <w:szCs w:val="24"/>
              </w:rPr>
              <w:t>6</w:t>
            </w:r>
          </w:p>
        </w:tc>
        <w:tc>
          <w:tcPr>
            <w:tcW w:w="4575" w:type="pct"/>
            <w:noWrap w:val="0"/>
            <w:vAlign w:val="top"/>
          </w:tcPr>
          <w:p w14:paraId="7C16F7D8">
            <w:pPr>
              <w:jc w:val="left"/>
              <w:rPr>
                <w:color w:val="auto"/>
                <w:sz w:val="24"/>
                <w:szCs w:val="24"/>
              </w:rPr>
            </w:pPr>
            <w:r>
              <w:rPr>
                <w:rFonts w:hint="eastAsia"/>
                <w:color w:val="auto"/>
                <w:sz w:val="24"/>
                <w:szCs w:val="24"/>
              </w:rPr>
              <w:t>商务</w:t>
            </w:r>
            <w:r>
              <w:rPr>
                <w:color w:val="auto"/>
                <w:sz w:val="24"/>
                <w:szCs w:val="24"/>
              </w:rPr>
              <w:t>响应、偏离情况说明表</w:t>
            </w:r>
          </w:p>
        </w:tc>
      </w:tr>
      <w:tr w14:paraId="4BFF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AA15D38">
            <w:pPr>
              <w:jc w:val="center"/>
              <w:rPr>
                <w:color w:val="auto"/>
                <w:sz w:val="24"/>
                <w:szCs w:val="24"/>
              </w:rPr>
            </w:pPr>
            <w:r>
              <w:rPr>
                <w:color w:val="auto"/>
                <w:sz w:val="24"/>
                <w:szCs w:val="24"/>
              </w:rPr>
              <w:t>7</w:t>
            </w:r>
          </w:p>
        </w:tc>
        <w:tc>
          <w:tcPr>
            <w:tcW w:w="4575" w:type="pct"/>
            <w:noWrap w:val="0"/>
            <w:vAlign w:val="top"/>
          </w:tcPr>
          <w:p w14:paraId="67953D25">
            <w:pPr>
              <w:jc w:val="left"/>
              <w:rPr>
                <w:color w:val="auto"/>
                <w:sz w:val="24"/>
                <w:szCs w:val="24"/>
              </w:rPr>
            </w:pPr>
            <w:r>
              <w:rPr>
                <w:color w:val="auto"/>
                <w:sz w:val="24"/>
                <w:szCs w:val="24"/>
              </w:rPr>
              <w:t>法人（负责人）代表授权书</w:t>
            </w:r>
          </w:p>
        </w:tc>
      </w:tr>
      <w:tr w14:paraId="0870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5CD215D">
            <w:pPr>
              <w:jc w:val="center"/>
              <w:rPr>
                <w:color w:val="auto"/>
                <w:sz w:val="24"/>
                <w:szCs w:val="24"/>
              </w:rPr>
            </w:pPr>
            <w:r>
              <w:rPr>
                <w:color w:val="auto"/>
                <w:sz w:val="24"/>
                <w:szCs w:val="24"/>
              </w:rPr>
              <w:t>8</w:t>
            </w:r>
          </w:p>
        </w:tc>
        <w:tc>
          <w:tcPr>
            <w:tcW w:w="4575" w:type="pct"/>
            <w:noWrap w:val="0"/>
            <w:vAlign w:val="top"/>
          </w:tcPr>
          <w:p w14:paraId="05F13A5F">
            <w:pPr>
              <w:jc w:val="left"/>
              <w:rPr>
                <w:color w:val="auto"/>
                <w:sz w:val="24"/>
                <w:szCs w:val="24"/>
              </w:rPr>
            </w:pPr>
            <w:r>
              <w:rPr>
                <w:color w:val="auto"/>
                <w:sz w:val="24"/>
                <w:szCs w:val="24"/>
              </w:rPr>
              <w:t>法人或者其他组织的营业执照等证明文件，自然人的身份证明</w:t>
            </w:r>
          </w:p>
        </w:tc>
      </w:tr>
      <w:tr w14:paraId="2F4F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7C4946C">
            <w:pPr>
              <w:jc w:val="center"/>
              <w:rPr>
                <w:color w:val="auto"/>
                <w:sz w:val="24"/>
                <w:szCs w:val="24"/>
              </w:rPr>
            </w:pPr>
            <w:r>
              <w:rPr>
                <w:color w:val="auto"/>
                <w:sz w:val="24"/>
                <w:szCs w:val="24"/>
              </w:rPr>
              <w:t>9</w:t>
            </w:r>
          </w:p>
        </w:tc>
        <w:tc>
          <w:tcPr>
            <w:tcW w:w="4575" w:type="pct"/>
            <w:noWrap w:val="0"/>
            <w:vAlign w:val="top"/>
          </w:tcPr>
          <w:p w14:paraId="6C798618">
            <w:pPr>
              <w:jc w:val="left"/>
              <w:rPr>
                <w:color w:val="auto"/>
                <w:sz w:val="24"/>
                <w:szCs w:val="24"/>
              </w:rPr>
            </w:pPr>
            <w:r>
              <w:rPr>
                <w:color w:val="auto"/>
                <w:sz w:val="24"/>
                <w:szCs w:val="24"/>
              </w:rPr>
              <w:t>符合国家相关规定的财务状况报告</w:t>
            </w:r>
            <w:r>
              <w:rPr>
                <w:rFonts w:hint="eastAsia"/>
                <w:color w:val="auto"/>
                <w:sz w:val="24"/>
                <w:szCs w:val="24"/>
                <w:lang w:val="en-US" w:eastAsia="zh-CN"/>
              </w:rPr>
              <w:t>或</w:t>
            </w:r>
            <w:r>
              <w:rPr>
                <w:color w:val="auto"/>
                <w:sz w:val="24"/>
                <w:szCs w:val="24"/>
              </w:rPr>
              <w:t>书面承诺书，依法缴纳税收和社会保障资金的证明材料</w:t>
            </w:r>
            <w:r>
              <w:rPr>
                <w:rFonts w:hint="eastAsia"/>
                <w:color w:val="auto"/>
                <w:sz w:val="24"/>
                <w:szCs w:val="24"/>
                <w:lang w:val="en-US" w:eastAsia="zh-CN"/>
              </w:rPr>
              <w:t>或</w:t>
            </w:r>
            <w:r>
              <w:rPr>
                <w:color w:val="auto"/>
                <w:sz w:val="24"/>
                <w:szCs w:val="24"/>
              </w:rPr>
              <w:t>书面承诺书</w:t>
            </w:r>
          </w:p>
        </w:tc>
      </w:tr>
      <w:tr w14:paraId="6A76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2F6EA06">
            <w:pPr>
              <w:jc w:val="center"/>
              <w:rPr>
                <w:color w:val="auto"/>
                <w:sz w:val="24"/>
                <w:szCs w:val="24"/>
              </w:rPr>
            </w:pPr>
            <w:r>
              <w:rPr>
                <w:color w:val="auto"/>
                <w:sz w:val="24"/>
                <w:szCs w:val="24"/>
              </w:rPr>
              <w:t>10</w:t>
            </w:r>
          </w:p>
        </w:tc>
        <w:tc>
          <w:tcPr>
            <w:tcW w:w="4575" w:type="pct"/>
            <w:noWrap w:val="0"/>
            <w:vAlign w:val="top"/>
          </w:tcPr>
          <w:p w14:paraId="7865B2B5">
            <w:pPr>
              <w:jc w:val="left"/>
              <w:rPr>
                <w:color w:val="auto"/>
                <w:sz w:val="24"/>
                <w:szCs w:val="24"/>
              </w:rPr>
            </w:pPr>
            <w:r>
              <w:rPr>
                <w:color w:val="auto"/>
                <w:sz w:val="24"/>
                <w:szCs w:val="24"/>
              </w:rPr>
              <w:t>具备履行合同所必需的设备和专业技术能力的证明材料</w:t>
            </w:r>
            <w:r>
              <w:rPr>
                <w:rFonts w:hint="eastAsia"/>
                <w:color w:val="auto"/>
                <w:sz w:val="24"/>
                <w:szCs w:val="24"/>
                <w:lang w:val="en-US" w:eastAsia="zh-CN"/>
              </w:rPr>
              <w:t>或</w:t>
            </w:r>
            <w:r>
              <w:rPr>
                <w:color w:val="auto"/>
                <w:sz w:val="24"/>
                <w:szCs w:val="24"/>
              </w:rPr>
              <w:t>书面承诺书</w:t>
            </w:r>
          </w:p>
        </w:tc>
      </w:tr>
      <w:tr w14:paraId="50D1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C07BA7">
            <w:pPr>
              <w:jc w:val="center"/>
              <w:rPr>
                <w:color w:val="auto"/>
                <w:sz w:val="24"/>
                <w:szCs w:val="24"/>
              </w:rPr>
            </w:pPr>
            <w:r>
              <w:rPr>
                <w:rFonts w:hint="eastAsia"/>
                <w:color w:val="auto"/>
                <w:sz w:val="24"/>
                <w:szCs w:val="24"/>
              </w:rPr>
              <w:t>1</w:t>
            </w:r>
            <w:r>
              <w:rPr>
                <w:color w:val="auto"/>
                <w:sz w:val="24"/>
                <w:szCs w:val="24"/>
              </w:rPr>
              <w:t>1</w:t>
            </w:r>
          </w:p>
        </w:tc>
        <w:tc>
          <w:tcPr>
            <w:tcW w:w="4575" w:type="pct"/>
            <w:noWrap w:val="0"/>
            <w:vAlign w:val="top"/>
          </w:tcPr>
          <w:p w14:paraId="04F0D023">
            <w:pPr>
              <w:jc w:val="left"/>
              <w:rPr>
                <w:color w:val="auto"/>
                <w:sz w:val="24"/>
                <w:szCs w:val="24"/>
              </w:rPr>
            </w:pPr>
            <w:r>
              <w:rPr>
                <w:color w:val="auto"/>
                <w:sz w:val="24"/>
                <w:szCs w:val="24"/>
              </w:rPr>
              <w:t>参加政府采购活动前3年内在经营活动中没有重大违法记录的书面声明</w:t>
            </w:r>
          </w:p>
        </w:tc>
      </w:tr>
      <w:tr w14:paraId="5883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622709C">
            <w:pPr>
              <w:jc w:val="center"/>
              <w:rPr>
                <w:rFonts w:hint="default" w:eastAsia="宋体"/>
                <w:color w:val="auto"/>
                <w:sz w:val="24"/>
                <w:szCs w:val="24"/>
                <w:lang w:val="en-US" w:eastAsia="zh-CN"/>
              </w:rPr>
            </w:pPr>
            <w:r>
              <w:rPr>
                <w:rFonts w:hint="eastAsia"/>
                <w:color w:val="auto"/>
                <w:sz w:val="24"/>
                <w:szCs w:val="24"/>
                <w:lang w:val="en-US" w:eastAsia="zh-CN"/>
              </w:rPr>
              <w:t>12</w:t>
            </w:r>
          </w:p>
        </w:tc>
        <w:tc>
          <w:tcPr>
            <w:tcW w:w="4575" w:type="pct"/>
            <w:noWrap w:val="0"/>
            <w:vAlign w:val="top"/>
          </w:tcPr>
          <w:p w14:paraId="3D341C75">
            <w:pPr>
              <w:jc w:val="left"/>
              <w:rPr>
                <w:color w:val="auto"/>
                <w:sz w:val="24"/>
                <w:szCs w:val="24"/>
              </w:rPr>
            </w:pPr>
            <w:r>
              <w:rPr>
                <w:rFonts w:hint="eastAsia"/>
                <w:color w:val="auto"/>
                <w:sz w:val="24"/>
                <w:szCs w:val="24"/>
              </w:rPr>
              <w:t>具备法律、行政法规规定的其他条件的证明材料。</w:t>
            </w:r>
          </w:p>
        </w:tc>
      </w:tr>
      <w:tr w14:paraId="5659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2207F0D">
            <w:pPr>
              <w:jc w:val="center"/>
              <w:rPr>
                <w:rFonts w:hint="default"/>
                <w:color w:val="auto"/>
                <w:sz w:val="24"/>
                <w:szCs w:val="24"/>
                <w:lang w:val="en-US" w:eastAsia="zh-CN"/>
              </w:rPr>
            </w:pPr>
            <w:r>
              <w:rPr>
                <w:rFonts w:hint="eastAsia"/>
                <w:color w:val="auto"/>
                <w:sz w:val="24"/>
                <w:szCs w:val="24"/>
                <w:lang w:val="en-US" w:eastAsia="zh-CN"/>
              </w:rPr>
              <w:t>13</w:t>
            </w:r>
          </w:p>
        </w:tc>
        <w:tc>
          <w:tcPr>
            <w:tcW w:w="4575" w:type="pct"/>
            <w:noWrap w:val="0"/>
            <w:vAlign w:val="top"/>
          </w:tcPr>
          <w:p w14:paraId="473A8E6A">
            <w:pPr>
              <w:jc w:val="left"/>
              <w:rPr>
                <w:rFonts w:hint="eastAsia"/>
                <w:color w:val="auto"/>
                <w:sz w:val="24"/>
                <w:szCs w:val="24"/>
              </w:rPr>
            </w:pPr>
            <w:r>
              <w:rPr>
                <w:rFonts w:hint="eastAsia"/>
                <w:color w:val="auto"/>
                <w:sz w:val="24"/>
                <w:szCs w:val="24"/>
              </w:rPr>
              <w:t>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本项目专门面向中小企业</w:t>
            </w:r>
            <w:r>
              <w:rPr>
                <w:rFonts w:hint="eastAsia"/>
                <w:color w:val="auto"/>
                <w:sz w:val="24"/>
                <w:szCs w:val="24"/>
              </w:rPr>
              <w:t>。</w:t>
            </w:r>
          </w:p>
        </w:tc>
      </w:tr>
      <w:tr w14:paraId="62CA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C3273F9">
            <w:pPr>
              <w:jc w:val="center"/>
              <w:rPr>
                <w:rFonts w:hint="default" w:eastAsia="宋体"/>
                <w:color w:val="auto"/>
                <w:sz w:val="24"/>
                <w:szCs w:val="24"/>
                <w:lang w:val="en-US" w:eastAsia="zh-CN"/>
              </w:rPr>
            </w:pPr>
            <w:r>
              <w:rPr>
                <w:rFonts w:hint="eastAsia"/>
                <w:color w:val="auto"/>
                <w:sz w:val="24"/>
                <w:szCs w:val="24"/>
                <w:lang w:val="en-US" w:eastAsia="zh-CN"/>
              </w:rPr>
              <w:t>14</w:t>
            </w:r>
          </w:p>
        </w:tc>
        <w:tc>
          <w:tcPr>
            <w:tcW w:w="4575" w:type="pct"/>
            <w:noWrap w:val="0"/>
            <w:vAlign w:val="top"/>
          </w:tcPr>
          <w:p w14:paraId="43EA42DE">
            <w:pPr>
              <w:jc w:val="left"/>
              <w:rPr>
                <w:color w:val="auto"/>
                <w:sz w:val="24"/>
                <w:szCs w:val="24"/>
              </w:rPr>
            </w:pPr>
            <w:r>
              <w:rPr>
                <w:rFonts w:hint="eastAsia"/>
                <w:color w:val="auto"/>
                <w:sz w:val="24"/>
                <w:szCs w:val="24"/>
              </w:rPr>
              <w:t>未被列入“信用中国”、“中国政府采购网”失信被执行人、重大税收违法案件当事人名单、政府采购严重违法失信行为记录名单</w:t>
            </w:r>
            <w:r>
              <w:rPr>
                <w:color w:val="auto"/>
                <w:sz w:val="24"/>
                <w:szCs w:val="24"/>
              </w:rPr>
              <w:t>的网页打印件及书面声明</w:t>
            </w:r>
          </w:p>
        </w:tc>
      </w:tr>
      <w:tr w14:paraId="799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1EEDF37">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15</w:t>
            </w:r>
          </w:p>
        </w:tc>
        <w:tc>
          <w:tcPr>
            <w:tcW w:w="4575" w:type="pct"/>
            <w:noWrap w:val="0"/>
            <w:vAlign w:val="top"/>
          </w:tcPr>
          <w:p w14:paraId="43AAC337">
            <w:pPr>
              <w:jc w:val="left"/>
              <w:rPr>
                <w:rFonts w:hint="eastAsia" w:eastAsia="宋体" w:cs="Times New Roman"/>
                <w:color w:val="auto"/>
                <w:sz w:val="24"/>
                <w:szCs w:val="24"/>
              </w:rPr>
            </w:pPr>
            <w:r>
              <w:rPr>
                <w:rFonts w:hint="eastAsia" w:eastAsia="宋体" w:cs="Times New Roman"/>
                <w:color w:val="auto"/>
                <w:sz w:val="24"/>
                <w:szCs w:val="24"/>
                <w:lang w:val="en-US" w:eastAsia="zh-CN"/>
              </w:rPr>
              <w:t>磋商文件第一章“申请人的资格要求”中有特殊要求的，供应商应提供其符合特殊要求的证明材料或者情况说明；</w:t>
            </w:r>
          </w:p>
        </w:tc>
      </w:tr>
      <w:tr w14:paraId="5A7A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7C1D23">
            <w:pPr>
              <w:jc w:val="center"/>
              <w:rPr>
                <w:rFonts w:hint="default"/>
                <w:color w:val="auto"/>
                <w:sz w:val="24"/>
                <w:szCs w:val="24"/>
                <w:lang w:val="en-US" w:eastAsia="zh-CN"/>
              </w:rPr>
            </w:pPr>
            <w:r>
              <w:rPr>
                <w:rFonts w:hint="eastAsia"/>
                <w:color w:val="auto"/>
                <w:sz w:val="24"/>
                <w:szCs w:val="24"/>
                <w:lang w:val="en-US" w:eastAsia="zh-CN"/>
              </w:rPr>
              <w:t>16</w:t>
            </w:r>
          </w:p>
        </w:tc>
        <w:tc>
          <w:tcPr>
            <w:tcW w:w="4575" w:type="pct"/>
            <w:noWrap w:val="0"/>
            <w:vAlign w:val="top"/>
          </w:tcPr>
          <w:p w14:paraId="19AD655D">
            <w:pPr>
              <w:rPr>
                <w:rFonts w:hint="eastAsia" w:ascii="Times New Roman" w:hAnsi="宋体" w:cs="Times New Roman"/>
                <w:color w:val="auto"/>
                <w:sz w:val="24"/>
                <w:szCs w:val="24"/>
              </w:rPr>
            </w:pPr>
            <w:r>
              <w:rPr>
                <w:rFonts w:hint="eastAsia"/>
                <w:color w:val="auto"/>
                <w:sz w:val="24"/>
                <w:szCs w:val="24"/>
              </w:rPr>
              <w:t>响应文件有效期</w:t>
            </w:r>
          </w:p>
        </w:tc>
      </w:tr>
      <w:tr w14:paraId="45DC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3CAD421">
            <w:pPr>
              <w:jc w:val="center"/>
              <w:rPr>
                <w:rFonts w:hint="default"/>
                <w:color w:val="auto"/>
                <w:sz w:val="24"/>
                <w:szCs w:val="24"/>
                <w:lang w:val="en-US" w:eastAsia="zh-CN"/>
              </w:rPr>
            </w:pPr>
            <w:r>
              <w:rPr>
                <w:rFonts w:hint="eastAsia"/>
                <w:color w:val="auto"/>
                <w:sz w:val="24"/>
                <w:szCs w:val="24"/>
                <w:lang w:val="en-US" w:eastAsia="zh-CN"/>
              </w:rPr>
              <w:t>17</w:t>
            </w:r>
          </w:p>
        </w:tc>
        <w:tc>
          <w:tcPr>
            <w:tcW w:w="4575" w:type="pct"/>
            <w:noWrap w:val="0"/>
            <w:vAlign w:val="top"/>
          </w:tcPr>
          <w:p w14:paraId="0262630B">
            <w:pPr>
              <w:rPr>
                <w:rFonts w:hint="eastAsia" w:ascii="Times New Roman" w:hAnsi="宋体" w:cs="Times New Roman"/>
                <w:color w:val="auto"/>
                <w:sz w:val="24"/>
                <w:szCs w:val="24"/>
              </w:rPr>
            </w:pPr>
            <w:r>
              <w:rPr>
                <w:rFonts w:hint="eastAsia"/>
                <w:color w:val="auto"/>
                <w:sz w:val="24"/>
                <w:szCs w:val="24"/>
              </w:rPr>
              <w:t>总报价</w:t>
            </w:r>
            <w:r>
              <w:rPr>
                <w:rFonts w:hint="eastAsia"/>
                <w:color w:val="auto"/>
                <w:sz w:val="24"/>
                <w:szCs w:val="24"/>
                <w:lang w:val="en-US" w:eastAsia="zh-CN"/>
              </w:rPr>
              <w:t>未</w:t>
            </w:r>
            <w:r>
              <w:rPr>
                <w:rFonts w:hint="eastAsia"/>
                <w:color w:val="auto"/>
                <w:sz w:val="24"/>
                <w:szCs w:val="24"/>
              </w:rPr>
              <w:t>超过项目最高限价的；</w:t>
            </w:r>
          </w:p>
        </w:tc>
      </w:tr>
      <w:tr w14:paraId="69B9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10044DA">
            <w:pPr>
              <w:jc w:val="center"/>
              <w:rPr>
                <w:rFonts w:hint="default"/>
                <w:color w:val="auto"/>
                <w:sz w:val="24"/>
                <w:szCs w:val="24"/>
                <w:lang w:val="en-US" w:eastAsia="zh-CN"/>
              </w:rPr>
            </w:pPr>
            <w:r>
              <w:rPr>
                <w:rFonts w:hint="eastAsia"/>
                <w:color w:val="auto"/>
                <w:sz w:val="24"/>
                <w:szCs w:val="24"/>
                <w:lang w:val="en-US" w:eastAsia="zh-CN"/>
              </w:rPr>
              <w:t>18</w:t>
            </w:r>
          </w:p>
        </w:tc>
        <w:tc>
          <w:tcPr>
            <w:tcW w:w="4575" w:type="pct"/>
            <w:noWrap w:val="0"/>
            <w:vAlign w:val="top"/>
          </w:tcPr>
          <w:p w14:paraId="6D628F85">
            <w:pPr>
              <w:rPr>
                <w:rFonts w:hint="eastAsia" w:ascii="Times New Roman" w:hAnsi="宋体" w:cs="Times New Roman"/>
                <w:color w:val="auto"/>
                <w:sz w:val="24"/>
                <w:szCs w:val="24"/>
              </w:rPr>
            </w:pPr>
            <w:r>
              <w:rPr>
                <w:rFonts w:hint="eastAsia"/>
                <w:color w:val="auto"/>
                <w:sz w:val="24"/>
                <w:szCs w:val="24"/>
              </w:rPr>
              <w:t>本项目不接受联合体</w:t>
            </w:r>
          </w:p>
        </w:tc>
      </w:tr>
      <w:tr w14:paraId="4D62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2220FCF">
            <w:pPr>
              <w:jc w:val="center"/>
              <w:rPr>
                <w:rFonts w:hint="default"/>
                <w:color w:val="auto"/>
                <w:sz w:val="24"/>
                <w:szCs w:val="24"/>
                <w:lang w:val="en-US" w:eastAsia="zh-CN"/>
              </w:rPr>
            </w:pPr>
            <w:r>
              <w:rPr>
                <w:rFonts w:hint="eastAsia"/>
                <w:color w:val="auto"/>
                <w:sz w:val="24"/>
                <w:szCs w:val="24"/>
                <w:lang w:val="en-US" w:eastAsia="zh-CN"/>
              </w:rPr>
              <w:t>19</w:t>
            </w:r>
          </w:p>
        </w:tc>
        <w:tc>
          <w:tcPr>
            <w:tcW w:w="4575" w:type="pct"/>
            <w:noWrap w:val="0"/>
            <w:vAlign w:val="top"/>
          </w:tcPr>
          <w:p w14:paraId="47CFF331">
            <w:pPr>
              <w:rPr>
                <w:rFonts w:hint="eastAsia"/>
                <w:color w:val="auto"/>
                <w:sz w:val="24"/>
                <w:szCs w:val="24"/>
              </w:rPr>
            </w:pPr>
            <w:r>
              <w:rPr>
                <w:rFonts w:hint="eastAsia"/>
                <w:color w:val="auto"/>
                <w:sz w:val="24"/>
                <w:szCs w:val="24"/>
              </w:rPr>
              <w:t>本项目不允许分包</w:t>
            </w:r>
          </w:p>
        </w:tc>
      </w:tr>
      <w:tr w14:paraId="43C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6206AEB">
            <w:pPr>
              <w:jc w:val="center"/>
              <w:rPr>
                <w:rFonts w:hint="default"/>
                <w:color w:val="auto"/>
                <w:sz w:val="24"/>
                <w:szCs w:val="24"/>
                <w:lang w:val="en-US" w:eastAsia="zh-CN"/>
              </w:rPr>
            </w:pPr>
            <w:r>
              <w:rPr>
                <w:rFonts w:hint="eastAsia"/>
                <w:color w:val="auto"/>
                <w:sz w:val="24"/>
                <w:szCs w:val="24"/>
                <w:lang w:val="en-US" w:eastAsia="zh-CN"/>
              </w:rPr>
              <w:t>20</w:t>
            </w:r>
          </w:p>
        </w:tc>
        <w:tc>
          <w:tcPr>
            <w:tcW w:w="4575" w:type="pct"/>
            <w:noWrap w:val="0"/>
            <w:vAlign w:val="top"/>
          </w:tcPr>
          <w:p w14:paraId="278C7046">
            <w:pPr>
              <w:rPr>
                <w:rFonts w:hint="eastAsia"/>
                <w:color w:val="auto"/>
                <w:sz w:val="24"/>
                <w:szCs w:val="24"/>
              </w:rPr>
            </w:pPr>
            <w:r>
              <w:rPr>
                <w:rFonts w:hint="eastAsia"/>
                <w:color w:val="auto"/>
                <w:sz w:val="24"/>
                <w:szCs w:val="24"/>
              </w:rPr>
              <w:t>本项目不提供备选方案</w:t>
            </w:r>
          </w:p>
        </w:tc>
      </w:tr>
      <w:tr w14:paraId="7AD8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1D66AA1">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21</w:t>
            </w:r>
          </w:p>
        </w:tc>
        <w:tc>
          <w:tcPr>
            <w:tcW w:w="4575" w:type="pct"/>
            <w:noWrap w:val="0"/>
            <w:vAlign w:val="top"/>
          </w:tcPr>
          <w:p w14:paraId="0131EA98">
            <w:pPr>
              <w:rPr>
                <w:rFonts w:hint="eastAsia" w:eastAsia="宋体" w:cs="Times New Roman"/>
                <w:color w:val="auto"/>
                <w:sz w:val="24"/>
                <w:szCs w:val="24"/>
                <w:lang w:val="en-US" w:eastAsia="zh-CN"/>
              </w:rPr>
            </w:pPr>
            <w:r>
              <w:rPr>
                <w:rFonts w:hint="eastAsia" w:eastAsia="宋体" w:cs="Times New Roman"/>
                <w:color w:val="auto"/>
                <w:sz w:val="24"/>
                <w:szCs w:val="24"/>
              </w:rPr>
              <w:t>满足招标文件第三章“项目技术、服务和商务要求”中</w:t>
            </w:r>
            <w:r>
              <w:rPr>
                <w:rFonts w:hint="eastAsia" w:ascii="宋体" w:hAnsi="宋体" w:eastAsia="宋体" w:cs="宋体"/>
                <w:sz w:val="24"/>
                <w:szCs w:val="24"/>
                <w:lang w:val="zh-CN"/>
              </w:rPr>
              <w:t>★</w:t>
            </w:r>
            <w:r>
              <w:rPr>
                <w:rFonts w:hint="eastAsia" w:eastAsia="宋体" w:cs="Times New Roman"/>
                <w:color w:val="auto"/>
                <w:sz w:val="24"/>
                <w:szCs w:val="24"/>
              </w:rPr>
              <w:t>条款要求的；</w:t>
            </w:r>
          </w:p>
        </w:tc>
      </w:tr>
    </w:tbl>
    <w:p w14:paraId="30F2EF4C">
      <w:pPr>
        <w:pStyle w:val="148"/>
        <w:widowControl/>
        <w:snapToGrid w:val="0"/>
        <w:spacing w:before="0" w:beforeAutospacing="0" w:after="0" w:afterAutospacing="0" w:line="240" w:lineRule="auto"/>
        <w:jc w:val="both"/>
        <w:textAlignment w:val="baseline"/>
        <w:rPr>
          <w:rStyle w:val="149"/>
          <w:rFonts w:ascii="Times New Roman" w:hAnsi="Times New Roman"/>
          <w:b w:val="0"/>
          <w:i w:val="0"/>
          <w:caps w:val="0"/>
          <w:color w:val="auto"/>
          <w:spacing w:val="0"/>
          <w:w w:val="100"/>
          <w:kern w:val="2"/>
          <w:sz w:val="21"/>
          <w:szCs w:val="24"/>
          <w:highlight w:val="none"/>
          <w:lang w:val="en-US" w:eastAsia="zh-CN" w:bidi="ar-SA"/>
        </w:rPr>
      </w:pPr>
    </w:p>
    <w:p w14:paraId="717A9D22">
      <w:pPr>
        <w:tabs>
          <w:tab w:val="center" w:pos="4422"/>
        </w:tabs>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本次磋商采用综合评分法，其中商务部分</w:t>
      </w:r>
      <w:r>
        <w:rPr>
          <w:rFonts w:hint="eastAsia" w:ascii="宋体" w:hAnsi="宋体" w:cs="宋体"/>
          <w:b/>
          <w:color w:val="auto"/>
          <w:sz w:val="24"/>
          <w:szCs w:val="24"/>
          <w:highlight w:val="none"/>
          <w:lang w:val="en-US" w:eastAsia="zh-CN"/>
        </w:rPr>
        <w:t>20</w:t>
      </w:r>
      <w:r>
        <w:rPr>
          <w:rFonts w:hint="eastAsia" w:ascii="宋体" w:hAnsi="宋体" w:cs="宋体"/>
          <w:b/>
          <w:color w:val="auto"/>
          <w:sz w:val="24"/>
          <w:szCs w:val="24"/>
          <w:highlight w:val="none"/>
        </w:rPr>
        <w:t>分，技术、服务部分</w:t>
      </w:r>
      <w:r>
        <w:rPr>
          <w:rFonts w:hint="eastAsia" w:ascii="宋体" w:hAnsi="宋体" w:cs="宋体"/>
          <w:b/>
          <w:color w:val="auto"/>
          <w:sz w:val="24"/>
          <w:szCs w:val="24"/>
          <w:highlight w:val="none"/>
          <w:lang w:val="en-US" w:eastAsia="zh-CN"/>
        </w:rPr>
        <w:t>50</w:t>
      </w:r>
      <w:r>
        <w:rPr>
          <w:rFonts w:hint="eastAsia" w:ascii="宋体" w:hAnsi="宋体" w:cs="宋体"/>
          <w:b/>
          <w:color w:val="auto"/>
          <w:sz w:val="24"/>
          <w:szCs w:val="24"/>
          <w:highlight w:val="none"/>
        </w:rPr>
        <w:t>分，价格部分</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0分。</w:t>
      </w:r>
    </w:p>
    <w:tbl>
      <w:tblPr>
        <w:tblStyle w:val="30"/>
        <w:tblW w:w="5257"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20"/>
        <w:gridCol w:w="684"/>
        <w:gridCol w:w="1152"/>
        <w:gridCol w:w="827"/>
        <w:gridCol w:w="6470"/>
      </w:tblGrid>
      <w:tr w14:paraId="48F326A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92" w:type="pct"/>
            <w:gridSpan w:val="2"/>
            <w:tcBorders>
              <w:top w:val="outset" w:color="auto" w:sz="6" w:space="0"/>
              <w:left w:val="outset" w:color="auto" w:sz="6" w:space="0"/>
              <w:bottom w:val="outset" w:color="auto" w:sz="6" w:space="0"/>
              <w:right w:val="outset" w:color="auto" w:sz="6" w:space="0"/>
            </w:tcBorders>
            <w:vAlign w:val="center"/>
          </w:tcPr>
          <w:p w14:paraId="19F64D1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序号</w:t>
            </w:r>
          </w:p>
        </w:tc>
        <w:tc>
          <w:tcPr>
            <w:tcW w:w="610" w:type="pct"/>
            <w:tcBorders>
              <w:top w:val="outset" w:color="auto" w:sz="6" w:space="0"/>
              <w:left w:val="outset" w:color="auto" w:sz="6" w:space="0"/>
              <w:bottom w:val="outset" w:color="auto" w:sz="6" w:space="0"/>
              <w:right w:val="outset" w:color="auto" w:sz="6" w:space="0"/>
            </w:tcBorders>
            <w:vAlign w:val="center"/>
          </w:tcPr>
          <w:p w14:paraId="2545132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评议内容</w:t>
            </w:r>
          </w:p>
        </w:tc>
        <w:tc>
          <w:tcPr>
            <w:tcW w:w="404" w:type="pct"/>
            <w:tcBorders>
              <w:top w:val="outset" w:color="auto" w:sz="6" w:space="0"/>
              <w:left w:val="outset" w:color="auto" w:sz="6" w:space="0"/>
              <w:bottom w:val="outset" w:color="auto" w:sz="6" w:space="0"/>
              <w:right w:val="outset" w:color="auto" w:sz="6" w:space="0"/>
            </w:tcBorders>
            <w:vAlign w:val="center"/>
          </w:tcPr>
          <w:p w14:paraId="108E63C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分值</w:t>
            </w:r>
          </w:p>
        </w:tc>
        <w:tc>
          <w:tcPr>
            <w:tcW w:w="3392" w:type="pct"/>
            <w:tcBorders>
              <w:top w:val="outset" w:color="auto" w:sz="6" w:space="0"/>
              <w:left w:val="outset" w:color="auto" w:sz="6" w:space="0"/>
              <w:bottom w:val="outset" w:color="auto" w:sz="6" w:space="0"/>
              <w:right w:val="outset" w:color="auto" w:sz="6" w:space="0"/>
            </w:tcBorders>
            <w:vAlign w:val="center"/>
          </w:tcPr>
          <w:p w14:paraId="407930F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检查标准</w:t>
            </w:r>
          </w:p>
        </w:tc>
      </w:tr>
      <w:tr w14:paraId="015177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restart"/>
            <w:tcBorders>
              <w:top w:val="outset" w:color="auto" w:sz="6" w:space="0"/>
              <w:left w:val="outset" w:color="auto" w:sz="6" w:space="0"/>
              <w:bottom w:val="outset" w:color="auto" w:sz="6" w:space="0"/>
              <w:right w:val="outset" w:color="auto" w:sz="6" w:space="0"/>
            </w:tcBorders>
            <w:vAlign w:val="center"/>
          </w:tcPr>
          <w:p w14:paraId="7E784E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1</w:t>
            </w:r>
          </w:p>
        </w:tc>
        <w:tc>
          <w:tcPr>
            <w:tcW w:w="365" w:type="pct"/>
            <w:vMerge w:val="restart"/>
            <w:tcBorders>
              <w:top w:val="outset" w:color="auto" w:sz="6" w:space="0"/>
              <w:left w:val="outset" w:color="auto" w:sz="6" w:space="0"/>
              <w:bottom w:val="outset" w:color="auto" w:sz="6" w:space="0"/>
              <w:right w:val="outset" w:color="auto" w:sz="6" w:space="0"/>
            </w:tcBorders>
            <w:vAlign w:val="center"/>
          </w:tcPr>
          <w:p w14:paraId="731C4B1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商务评议</w:t>
            </w:r>
          </w:p>
        </w:tc>
        <w:tc>
          <w:tcPr>
            <w:tcW w:w="610" w:type="pct"/>
            <w:tcBorders>
              <w:top w:val="outset" w:color="auto" w:sz="6" w:space="0"/>
              <w:left w:val="outset" w:color="auto" w:sz="6" w:space="0"/>
              <w:bottom w:val="outset" w:color="auto" w:sz="6" w:space="0"/>
              <w:right w:val="outset" w:color="auto" w:sz="6" w:space="0"/>
            </w:tcBorders>
            <w:vAlign w:val="center"/>
          </w:tcPr>
          <w:p w14:paraId="48C6F81A">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ascii="宋体" w:hAnsi="宋体" w:cs="宋体"/>
                <w:sz w:val="24"/>
              </w:rPr>
            </w:pPr>
            <w:r>
              <w:rPr>
                <w:rFonts w:hint="eastAsia" w:ascii="宋体" w:hAnsi="宋体" w:cs="宋体"/>
                <w:color w:val="000000" w:themeColor="text1"/>
                <w:sz w:val="24"/>
                <w14:textFill>
                  <w14:solidFill>
                    <w14:schemeClr w14:val="tx1"/>
                  </w14:solidFill>
                </w14:textFill>
              </w:rPr>
              <w:t>类似业绩</w:t>
            </w:r>
          </w:p>
        </w:tc>
        <w:tc>
          <w:tcPr>
            <w:tcW w:w="404" w:type="pct"/>
            <w:tcBorders>
              <w:top w:val="outset" w:color="auto" w:sz="6" w:space="0"/>
              <w:left w:val="outset" w:color="auto" w:sz="6" w:space="0"/>
              <w:bottom w:val="outset" w:color="auto" w:sz="6" w:space="0"/>
              <w:right w:val="outset" w:color="auto" w:sz="6" w:space="0"/>
            </w:tcBorders>
            <w:vAlign w:val="center"/>
          </w:tcPr>
          <w:p w14:paraId="3DBCF10F">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cs="宋体"/>
                <w:sz w:val="24"/>
                <w:lang w:eastAsia="zh-CN"/>
              </w:rPr>
            </w:pPr>
            <w:r>
              <w:rPr>
                <w:rFonts w:hint="eastAsia" w:ascii="宋体" w:hAnsi="宋体"/>
                <w:sz w:val="24"/>
                <w:lang w:val="en-US" w:eastAsia="zh-CN"/>
              </w:rPr>
              <w:t>1</w:t>
            </w:r>
          </w:p>
        </w:tc>
        <w:tc>
          <w:tcPr>
            <w:tcW w:w="3392" w:type="pct"/>
            <w:tcBorders>
              <w:top w:val="outset" w:color="auto" w:sz="6" w:space="0"/>
              <w:left w:val="outset" w:color="auto" w:sz="6" w:space="0"/>
              <w:bottom w:val="outset" w:color="auto" w:sz="6" w:space="0"/>
              <w:right w:val="outset" w:color="auto" w:sz="6" w:space="0"/>
            </w:tcBorders>
            <w:vAlign w:val="center"/>
          </w:tcPr>
          <w:p w14:paraId="0252FF12">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r>
              <w:rPr>
                <w:rFonts w:hint="eastAsia" w:ascii="宋体" w:hAnsi="宋体" w:cs="宋体"/>
                <w:sz w:val="24"/>
              </w:rPr>
              <w:t>供应商提供2020年12月1日至今具有的类似业绩（需提供合同或中标通知书），每提供1个得</w:t>
            </w:r>
            <w:r>
              <w:rPr>
                <w:rFonts w:hint="eastAsia" w:ascii="宋体" w:hAnsi="宋体" w:cs="宋体"/>
                <w:sz w:val="24"/>
                <w:lang w:val="en-US" w:eastAsia="zh-CN"/>
              </w:rPr>
              <w:t>0.5</w:t>
            </w:r>
            <w:r>
              <w:rPr>
                <w:rFonts w:hint="eastAsia" w:ascii="宋体" w:hAnsi="宋体" w:cs="宋体"/>
                <w:sz w:val="24"/>
              </w:rPr>
              <w:t>分，满分</w:t>
            </w:r>
            <w:r>
              <w:rPr>
                <w:rFonts w:hint="eastAsia" w:ascii="宋体" w:hAnsi="宋体" w:cs="宋体"/>
                <w:sz w:val="24"/>
                <w:lang w:val="en-US" w:eastAsia="zh-CN"/>
              </w:rPr>
              <w:t>1</w:t>
            </w:r>
            <w:r>
              <w:rPr>
                <w:rFonts w:hint="eastAsia" w:ascii="宋体" w:hAnsi="宋体" w:cs="宋体"/>
                <w:sz w:val="24"/>
              </w:rPr>
              <w:t>分。</w:t>
            </w:r>
          </w:p>
        </w:tc>
      </w:tr>
      <w:tr w14:paraId="541958A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continue"/>
            <w:tcBorders>
              <w:left w:val="outset" w:color="auto" w:sz="6" w:space="0"/>
              <w:right w:val="outset" w:color="auto" w:sz="6" w:space="0"/>
            </w:tcBorders>
            <w:vAlign w:val="center"/>
          </w:tcPr>
          <w:p w14:paraId="551C442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365" w:type="pct"/>
            <w:vMerge w:val="continue"/>
            <w:tcBorders>
              <w:left w:val="outset" w:color="auto" w:sz="6" w:space="0"/>
              <w:right w:val="outset" w:color="auto" w:sz="6" w:space="0"/>
            </w:tcBorders>
            <w:vAlign w:val="center"/>
          </w:tcPr>
          <w:p w14:paraId="36E5B1A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05300CF0">
            <w:pPr>
              <w:keepNext w:val="0"/>
              <w:keepLines w:val="0"/>
              <w:pageBreakBefore w:val="0"/>
              <w:widowControl w:val="0"/>
              <w:kinsoku/>
              <w:wordWrap/>
              <w:overflowPunct/>
              <w:topLinePunct w:val="0"/>
              <w:autoSpaceDE/>
              <w:autoSpaceDN/>
              <w:bidi w:val="0"/>
              <w:adjustRightInd/>
              <w:snapToGrid/>
              <w:spacing w:line="36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企业实力</w:t>
            </w:r>
          </w:p>
        </w:tc>
        <w:tc>
          <w:tcPr>
            <w:tcW w:w="404" w:type="pct"/>
            <w:tcBorders>
              <w:top w:val="outset" w:color="auto" w:sz="6" w:space="0"/>
              <w:left w:val="outset" w:color="auto" w:sz="6" w:space="0"/>
              <w:bottom w:val="outset" w:color="auto" w:sz="6" w:space="0"/>
              <w:right w:val="outset" w:color="auto" w:sz="6" w:space="0"/>
            </w:tcBorders>
            <w:vAlign w:val="center"/>
          </w:tcPr>
          <w:p w14:paraId="36E4225A">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sz w:val="24"/>
                <w:lang w:eastAsia="zh-CN"/>
              </w:rPr>
            </w:pPr>
            <w:r>
              <w:rPr>
                <w:rFonts w:hint="eastAsia" w:ascii="宋体" w:hAnsi="宋体"/>
                <w:sz w:val="24"/>
                <w:lang w:val="en-US" w:eastAsia="zh-CN"/>
              </w:rPr>
              <w:t>2</w:t>
            </w:r>
          </w:p>
        </w:tc>
        <w:tc>
          <w:tcPr>
            <w:tcW w:w="3392" w:type="pct"/>
            <w:tcBorders>
              <w:top w:val="outset" w:color="auto" w:sz="6" w:space="0"/>
              <w:left w:val="outset" w:color="auto" w:sz="6" w:space="0"/>
              <w:bottom w:val="outset" w:color="auto" w:sz="6" w:space="0"/>
              <w:right w:val="outset" w:color="auto" w:sz="6" w:space="0"/>
            </w:tcBorders>
            <w:vAlign w:val="center"/>
          </w:tcPr>
          <w:p w14:paraId="05543E74">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r>
              <w:rPr>
                <w:rFonts w:hint="eastAsia" w:ascii="宋体" w:hAnsi="宋体" w:cs="宋体"/>
                <w:sz w:val="24"/>
              </w:rPr>
              <w:t>所投产品具有特殊医学用途配方食品批文的得2分，否则不得分（须提供相关证明材料复印件加盖公章）</w:t>
            </w:r>
          </w:p>
        </w:tc>
      </w:tr>
      <w:tr w14:paraId="6D6EF7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78" w:hRule="atLeast"/>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27F611AC">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13941217">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2CE1B29E">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售</w:t>
            </w:r>
            <w:r>
              <w:rPr>
                <w:rFonts w:ascii="宋体" w:hAnsi="宋体"/>
                <w:color w:val="000000" w:themeColor="text1"/>
                <w:sz w:val="24"/>
                <w14:textFill>
                  <w14:solidFill>
                    <w14:schemeClr w14:val="tx1"/>
                  </w14:solidFill>
                </w14:textFill>
              </w:rPr>
              <w:t>后</w:t>
            </w:r>
            <w:r>
              <w:rPr>
                <w:rFonts w:hint="eastAsia" w:ascii="宋体" w:hAnsi="宋体"/>
                <w:color w:val="000000" w:themeColor="text1"/>
                <w:sz w:val="24"/>
                <w14:textFill>
                  <w14:solidFill>
                    <w14:schemeClr w14:val="tx1"/>
                  </w14:solidFill>
                </w14:textFill>
              </w:rPr>
              <w:t>服务</w:t>
            </w:r>
          </w:p>
          <w:p w14:paraId="549242DF">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s="宋体"/>
                <w:sz w:val="24"/>
              </w:rPr>
            </w:pPr>
            <w:r>
              <w:rPr>
                <w:rFonts w:hint="eastAsia" w:ascii="宋体" w:hAnsi="宋体"/>
                <w:color w:val="000000" w:themeColor="text1"/>
                <w:sz w:val="24"/>
                <w14:textFill>
                  <w14:solidFill>
                    <w14:schemeClr w14:val="tx1"/>
                  </w14:solidFill>
                </w14:textFill>
              </w:rPr>
              <w:t>方案</w:t>
            </w:r>
          </w:p>
        </w:tc>
        <w:tc>
          <w:tcPr>
            <w:tcW w:w="404" w:type="pct"/>
            <w:tcBorders>
              <w:top w:val="outset" w:color="auto" w:sz="6" w:space="0"/>
              <w:left w:val="outset" w:color="auto" w:sz="6" w:space="0"/>
              <w:bottom w:val="outset" w:color="auto" w:sz="6" w:space="0"/>
              <w:right w:val="outset" w:color="auto" w:sz="6" w:space="0"/>
            </w:tcBorders>
            <w:vAlign w:val="center"/>
          </w:tcPr>
          <w:p w14:paraId="1CB7634F">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cs="宋体"/>
                <w:sz w:val="24"/>
                <w:lang w:eastAsia="zh-CN"/>
              </w:rPr>
            </w:pPr>
            <w:r>
              <w:rPr>
                <w:rFonts w:hint="eastAsia" w:ascii="宋体" w:hAnsi="宋体"/>
                <w:color w:val="000000" w:themeColor="text1"/>
                <w:sz w:val="24"/>
                <w:lang w:val="en-US" w:eastAsia="zh-CN"/>
                <w14:textFill>
                  <w14:solidFill>
                    <w14:schemeClr w14:val="tx1"/>
                  </w14:solidFill>
                </w14:textFill>
              </w:rPr>
              <w:t>6</w:t>
            </w:r>
          </w:p>
        </w:tc>
        <w:tc>
          <w:tcPr>
            <w:tcW w:w="3392" w:type="pct"/>
            <w:tcBorders>
              <w:top w:val="outset" w:color="auto" w:sz="6" w:space="0"/>
              <w:left w:val="outset" w:color="auto" w:sz="6" w:space="0"/>
              <w:bottom w:val="outset" w:color="auto" w:sz="6" w:space="0"/>
              <w:right w:val="outset" w:color="auto" w:sz="6" w:space="0"/>
            </w:tcBorders>
            <w:vAlign w:val="center"/>
          </w:tcPr>
          <w:p w14:paraId="574FD6BE">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r>
              <w:rPr>
                <w:rFonts w:hint="eastAsia" w:ascii="宋体" w:hAnsi="宋体" w:cs="宋体"/>
                <w:sz w:val="24"/>
              </w:rPr>
              <w:t>针对售后服务提供各种技术支持配合、退换货制定方案，每项科学完整得</w:t>
            </w:r>
            <w:r>
              <w:rPr>
                <w:rFonts w:hint="eastAsia" w:ascii="宋体" w:hAnsi="宋体" w:cs="宋体"/>
                <w:sz w:val="24"/>
                <w:lang w:val="en-US" w:eastAsia="zh-CN"/>
              </w:rPr>
              <w:t>3</w:t>
            </w:r>
            <w:r>
              <w:rPr>
                <w:rFonts w:hint="eastAsia" w:ascii="宋体" w:hAnsi="宋体" w:cs="宋体"/>
                <w:sz w:val="24"/>
              </w:rPr>
              <w:t>分，最多得</w:t>
            </w:r>
            <w:r>
              <w:rPr>
                <w:rFonts w:hint="eastAsia" w:ascii="宋体" w:hAnsi="宋体" w:cs="宋体"/>
                <w:sz w:val="24"/>
                <w:lang w:val="en-US" w:eastAsia="zh-CN"/>
              </w:rPr>
              <w:t>6</w:t>
            </w:r>
            <w:r>
              <w:rPr>
                <w:rFonts w:hint="eastAsia" w:ascii="宋体" w:hAnsi="宋体" w:cs="宋体"/>
                <w:sz w:val="24"/>
              </w:rPr>
              <w:t>分，每项有缺陷扣2分，未提供不得分。</w:t>
            </w:r>
          </w:p>
        </w:tc>
      </w:tr>
      <w:tr w14:paraId="52D418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3D2C3368">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7AFBB98A">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49BD04CE">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s="宋体"/>
                <w:sz w:val="24"/>
              </w:rPr>
            </w:pPr>
            <w:r>
              <w:rPr>
                <w:rFonts w:hint="eastAsia" w:ascii="宋体" w:hAnsi="宋体"/>
                <w:sz w:val="24"/>
              </w:rPr>
              <w:t>罚则方案</w:t>
            </w:r>
          </w:p>
        </w:tc>
        <w:tc>
          <w:tcPr>
            <w:tcW w:w="404" w:type="pct"/>
            <w:tcBorders>
              <w:top w:val="outset" w:color="auto" w:sz="6" w:space="0"/>
              <w:left w:val="outset" w:color="auto" w:sz="6" w:space="0"/>
              <w:bottom w:val="outset" w:color="auto" w:sz="6" w:space="0"/>
              <w:right w:val="outset" w:color="auto" w:sz="6" w:space="0"/>
            </w:tcBorders>
            <w:vAlign w:val="center"/>
          </w:tcPr>
          <w:p w14:paraId="51325F5A">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cs="宋体"/>
                <w:sz w:val="24"/>
                <w:lang w:eastAsia="zh-CN"/>
              </w:rPr>
            </w:pPr>
            <w:r>
              <w:rPr>
                <w:rFonts w:hint="eastAsia" w:ascii="宋体" w:hAnsi="宋体"/>
                <w:sz w:val="24"/>
                <w:lang w:val="en-US" w:eastAsia="zh-CN"/>
              </w:rPr>
              <w:t>6</w:t>
            </w:r>
          </w:p>
        </w:tc>
        <w:tc>
          <w:tcPr>
            <w:tcW w:w="3392" w:type="pct"/>
            <w:tcBorders>
              <w:top w:val="outset" w:color="auto" w:sz="6" w:space="0"/>
              <w:left w:val="outset" w:color="auto" w:sz="6" w:space="0"/>
              <w:bottom w:val="outset" w:color="auto" w:sz="6" w:space="0"/>
              <w:right w:val="outset" w:color="auto" w:sz="6" w:space="0"/>
            </w:tcBorders>
          </w:tcPr>
          <w:p w14:paraId="20B737EF">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r>
              <w:rPr>
                <w:rFonts w:hint="eastAsia" w:ascii="宋体" w:hAnsi="宋体" w:cs="宋体"/>
                <w:sz w:val="24"/>
              </w:rPr>
              <w:t>根据采购人提出的采购计划，若未能及时送达、提供营养食品有质量问题、服务质量达不到采购人的要求的处罚措施进行评审。以上每项的处罚措施科学、合理、可行得</w:t>
            </w:r>
            <w:r>
              <w:rPr>
                <w:rFonts w:hint="eastAsia" w:ascii="宋体" w:hAnsi="宋体" w:cs="宋体"/>
                <w:sz w:val="24"/>
                <w:lang w:val="en-US" w:eastAsia="zh-CN"/>
              </w:rPr>
              <w:t>2</w:t>
            </w:r>
            <w:r>
              <w:rPr>
                <w:rFonts w:hint="eastAsia" w:ascii="宋体" w:hAnsi="宋体" w:cs="宋体"/>
                <w:sz w:val="24"/>
              </w:rPr>
              <w:t>分，最多得</w:t>
            </w:r>
            <w:r>
              <w:rPr>
                <w:rFonts w:hint="eastAsia" w:ascii="宋体" w:hAnsi="宋体" w:cs="宋体"/>
                <w:sz w:val="24"/>
                <w:lang w:val="en-US" w:eastAsia="zh-CN"/>
              </w:rPr>
              <w:t>6</w:t>
            </w:r>
            <w:r>
              <w:rPr>
                <w:rFonts w:hint="eastAsia" w:ascii="宋体" w:hAnsi="宋体" w:cs="宋体"/>
                <w:sz w:val="24"/>
              </w:rPr>
              <w:t>分；每项有缺陷扣1分，其他情况不得分。</w:t>
            </w:r>
          </w:p>
        </w:tc>
      </w:tr>
      <w:tr w14:paraId="2CFFA4E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25" w:hRule="atLeast"/>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05DE515D">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7B7468B8">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26DBB892">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应急预案</w:t>
            </w:r>
          </w:p>
        </w:tc>
        <w:tc>
          <w:tcPr>
            <w:tcW w:w="404" w:type="pct"/>
            <w:tcBorders>
              <w:top w:val="outset" w:color="auto" w:sz="6" w:space="0"/>
              <w:left w:val="outset" w:color="auto" w:sz="6" w:space="0"/>
              <w:bottom w:val="outset" w:color="auto" w:sz="6" w:space="0"/>
              <w:right w:val="outset" w:color="auto" w:sz="6" w:space="0"/>
            </w:tcBorders>
            <w:vAlign w:val="center"/>
          </w:tcPr>
          <w:p w14:paraId="7794D157">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w:t>
            </w:r>
          </w:p>
        </w:tc>
        <w:tc>
          <w:tcPr>
            <w:tcW w:w="3392" w:type="pct"/>
            <w:tcBorders>
              <w:top w:val="outset" w:color="auto" w:sz="6" w:space="0"/>
              <w:left w:val="outset" w:color="auto" w:sz="6" w:space="0"/>
              <w:bottom w:val="outset" w:color="auto" w:sz="6" w:space="0"/>
              <w:right w:val="outset" w:color="auto" w:sz="6" w:space="0"/>
            </w:tcBorders>
            <w:vAlign w:val="center"/>
          </w:tcPr>
          <w:p w14:paraId="76C89B50">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确保为采购人提供最有效的服务，针对不可预见的问题、紧急情况，制定处理措施和保障承诺，科学合理、针对性强，每项得</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分，最高得</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分；每项有缺陷扣</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分；未提供不得分。</w:t>
            </w:r>
          </w:p>
        </w:tc>
      </w:tr>
      <w:tr w14:paraId="0A12655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617660FF">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4F19B512">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5EC507EE">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诚信承诺</w:t>
            </w:r>
          </w:p>
        </w:tc>
        <w:tc>
          <w:tcPr>
            <w:tcW w:w="404" w:type="pct"/>
            <w:tcBorders>
              <w:top w:val="outset" w:color="auto" w:sz="6" w:space="0"/>
              <w:left w:val="outset" w:color="auto" w:sz="6" w:space="0"/>
              <w:bottom w:val="outset" w:color="auto" w:sz="6" w:space="0"/>
              <w:right w:val="outset" w:color="auto" w:sz="6" w:space="0"/>
            </w:tcBorders>
            <w:vAlign w:val="center"/>
          </w:tcPr>
          <w:p w14:paraId="3808BD0C">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p>
        </w:tc>
        <w:tc>
          <w:tcPr>
            <w:tcW w:w="3392" w:type="pct"/>
            <w:tcBorders>
              <w:top w:val="outset" w:color="auto" w:sz="6" w:space="0"/>
              <w:left w:val="outset" w:color="auto" w:sz="6" w:space="0"/>
              <w:bottom w:val="outset" w:color="auto" w:sz="6" w:space="0"/>
              <w:right w:val="outset" w:color="auto" w:sz="6" w:space="0"/>
            </w:tcBorders>
            <w:vAlign w:val="center"/>
          </w:tcPr>
          <w:p w14:paraId="53A1E1D4">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供应商提供同类产品供货价不高于湖北省内其他三甲医院，且供货价规范承诺函原件得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分，否则不得分。（须提供承诺函原件加盖公章）</w:t>
            </w:r>
          </w:p>
        </w:tc>
      </w:tr>
      <w:tr w14:paraId="0525DC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restart"/>
            <w:tcBorders>
              <w:top w:val="outset" w:color="auto" w:sz="6" w:space="0"/>
              <w:left w:val="outset" w:color="auto" w:sz="6" w:space="0"/>
              <w:bottom w:val="outset" w:color="auto" w:sz="6" w:space="0"/>
              <w:right w:val="outset" w:color="auto" w:sz="6" w:space="0"/>
            </w:tcBorders>
            <w:vAlign w:val="center"/>
          </w:tcPr>
          <w:p w14:paraId="699652A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2</w:t>
            </w:r>
          </w:p>
        </w:tc>
        <w:tc>
          <w:tcPr>
            <w:tcW w:w="365" w:type="pct"/>
            <w:vMerge w:val="restart"/>
            <w:tcBorders>
              <w:top w:val="outset" w:color="auto" w:sz="6" w:space="0"/>
              <w:left w:val="outset" w:color="auto" w:sz="6" w:space="0"/>
              <w:bottom w:val="outset" w:color="auto" w:sz="6" w:space="0"/>
              <w:right w:val="outset" w:color="auto" w:sz="6" w:space="0"/>
            </w:tcBorders>
            <w:vAlign w:val="center"/>
          </w:tcPr>
          <w:p w14:paraId="6FBBE5B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技术评议</w:t>
            </w:r>
          </w:p>
        </w:tc>
        <w:tc>
          <w:tcPr>
            <w:tcW w:w="610" w:type="pct"/>
            <w:tcBorders>
              <w:top w:val="outset" w:color="auto" w:sz="6" w:space="0"/>
              <w:left w:val="outset" w:color="auto" w:sz="6" w:space="0"/>
              <w:bottom w:val="outset" w:color="auto" w:sz="6" w:space="0"/>
              <w:right w:val="outset" w:color="auto" w:sz="6" w:space="0"/>
            </w:tcBorders>
            <w:vAlign w:val="center"/>
          </w:tcPr>
          <w:p w14:paraId="1DBCCD29">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技术要求</w:t>
            </w:r>
          </w:p>
        </w:tc>
        <w:tc>
          <w:tcPr>
            <w:tcW w:w="404" w:type="pct"/>
            <w:tcBorders>
              <w:top w:val="outset" w:color="auto" w:sz="6" w:space="0"/>
              <w:left w:val="outset" w:color="auto" w:sz="6" w:space="0"/>
              <w:bottom w:val="outset" w:color="auto" w:sz="6" w:space="0"/>
              <w:right w:val="outset" w:color="auto" w:sz="6" w:space="0"/>
            </w:tcBorders>
            <w:vAlign w:val="center"/>
          </w:tcPr>
          <w:p w14:paraId="659ECA13">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firstLine="105" w:firstLineChars="44"/>
              <w:jc w:val="center"/>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30</w:t>
            </w:r>
          </w:p>
        </w:tc>
        <w:tc>
          <w:tcPr>
            <w:tcW w:w="3392" w:type="pct"/>
            <w:tcBorders>
              <w:top w:val="outset" w:color="auto" w:sz="6" w:space="0"/>
              <w:left w:val="outset" w:color="auto" w:sz="6" w:space="0"/>
              <w:bottom w:val="outset" w:color="auto" w:sz="6" w:space="0"/>
              <w:right w:val="outset" w:color="auto" w:sz="6" w:space="0"/>
            </w:tcBorders>
            <w:vAlign w:val="center"/>
          </w:tcPr>
          <w:p w14:paraId="1FE2A35B">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主要成份含量要求全部符合招标要求的得满分</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0分，如投标产品主要成份含量低于竞争性磋商文件要求的即为负偏离。技术参数指标负偏离，每一项扣2分；以本项权重分为限，扣完为止。</w:t>
            </w:r>
          </w:p>
          <w:p w14:paraId="556D4EE6">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技术参数须提供该产品制造商出具的技术证明文件（须由货物生产商或其直属机构盖章）予以佐证,证明文件包括该产品技术白皮书或具有资质的第三方检测机构出具的检测报告或该产品制造商公开发行的宣传资料</w:t>
            </w:r>
          </w:p>
          <w:p w14:paraId="73FFF011">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说明：复制竞争性磋商文件技术要求作为实际响应数据或投标响应数据无对应支持文件的，其技术响应将按负偏离处理。</w:t>
            </w:r>
          </w:p>
        </w:tc>
      </w:tr>
      <w:tr w14:paraId="5A6EAE7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continue"/>
            <w:tcBorders>
              <w:left w:val="outset" w:color="auto" w:sz="6" w:space="0"/>
              <w:right w:val="outset" w:color="auto" w:sz="6" w:space="0"/>
            </w:tcBorders>
            <w:vAlign w:val="center"/>
          </w:tcPr>
          <w:p w14:paraId="6EB84F5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365" w:type="pct"/>
            <w:vMerge w:val="continue"/>
            <w:tcBorders>
              <w:left w:val="outset" w:color="auto" w:sz="6" w:space="0"/>
              <w:right w:val="outset" w:color="auto" w:sz="6" w:space="0"/>
            </w:tcBorders>
            <w:vAlign w:val="center"/>
          </w:tcPr>
          <w:p w14:paraId="255ED5F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3AF2E3AF">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配送服务</w:t>
            </w:r>
          </w:p>
          <w:p w14:paraId="1AA21EEE">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方案</w:t>
            </w:r>
          </w:p>
        </w:tc>
        <w:tc>
          <w:tcPr>
            <w:tcW w:w="404" w:type="pct"/>
            <w:tcBorders>
              <w:top w:val="outset" w:color="auto" w:sz="6" w:space="0"/>
              <w:left w:val="outset" w:color="auto" w:sz="6" w:space="0"/>
              <w:bottom w:val="outset" w:color="auto" w:sz="6" w:space="0"/>
              <w:right w:val="outset" w:color="auto" w:sz="6" w:space="0"/>
            </w:tcBorders>
            <w:vAlign w:val="center"/>
          </w:tcPr>
          <w:p w14:paraId="7F43519E">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firstLine="105" w:firstLineChars="44"/>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3392" w:type="pct"/>
            <w:tcBorders>
              <w:top w:val="outset" w:color="auto" w:sz="6" w:space="0"/>
              <w:left w:val="outset" w:color="auto" w:sz="6" w:space="0"/>
              <w:bottom w:val="outset" w:color="auto" w:sz="6" w:space="0"/>
              <w:right w:val="outset" w:color="auto" w:sz="6" w:space="0"/>
            </w:tcBorders>
            <w:vAlign w:val="center"/>
          </w:tcPr>
          <w:p w14:paraId="5E9535ED">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根据供应商的配送方案进行评审，包含但不限于：车辆安排、响应时间、配送人员、交货期限保障措施、应急预案等，以上每项科学合理得2分，满分10分，每项有缺陷扣1分。</w:t>
            </w:r>
          </w:p>
          <w:p w14:paraId="55AF9D09">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（须提供车辆的安排以供应商提供的车辆图片、行驶证、购车发票或租车证明为准）</w:t>
            </w:r>
          </w:p>
        </w:tc>
      </w:tr>
      <w:tr w14:paraId="2F091CF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vMerge w:val="continue"/>
            <w:tcBorders>
              <w:top w:val="outset" w:color="auto" w:sz="6" w:space="0"/>
              <w:left w:val="outset" w:color="auto" w:sz="6" w:space="0"/>
              <w:bottom w:val="outset" w:color="auto" w:sz="6" w:space="0"/>
              <w:right w:val="outset" w:color="auto" w:sz="6" w:space="0"/>
            </w:tcBorders>
            <w:vAlign w:val="center"/>
          </w:tcPr>
          <w:p w14:paraId="10AAB4F9">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p>
        </w:tc>
        <w:tc>
          <w:tcPr>
            <w:tcW w:w="365" w:type="pct"/>
            <w:vMerge w:val="continue"/>
            <w:tcBorders>
              <w:top w:val="outset" w:color="auto" w:sz="6" w:space="0"/>
              <w:left w:val="outset" w:color="auto" w:sz="6" w:space="0"/>
              <w:bottom w:val="outset" w:color="auto" w:sz="6" w:space="0"/>
              <w:right w:val="outset" w:color="auto" w:sz="6" w:space="0"/>
            </w:tcBorders>
            <w:vAlign w:val="center"/>
          </w:tcPr>
          <w:p w14:paraId="7699650D">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sz w:val="24"/>
              </w:rPr>
            </w:pPr>
          </w:p>
        </w:tc>
        <w:tc>
          <w:tcPr>
            <w:tcW w:w="610" w:type="pct"/>
            <w:tcBorders>
              <w:top w:val="outset" w:color="auto" w:sz="6" w:space="0"/>
              <w:left w:val="outset" w:color="auto" w:sz="6" w:space="0"/>
              <w:bottom w:val="outset" w:color="auto" w:sz="6" w:space="0"/>
              <w:right w:val="outset" w:color="auto" w:sz="6" w:space="0"/>
            </w:tcBorders>
            <w:vAlign w:val="center"/>
          </w:tcPr>
          <w:p w14:paraId="7A8D9669">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质量管理</w:t>
            </w:r>
          </w:p>
        </w:tc>
        <w:tc>
          <w:tcPr>
            <w:tcW w:w="404" w:type="pct"/>
            <w:tcBorders>
              <w:top w:val="outset" w:color="auto" w:sz="6" w:space="0"/>
              <w:left w:val="outset" w:color="auto" w:sz="6" w:space="0"/>
              <w:bottom w:val="outset" w:color="auto" w:sz="6" w:space="0"/>
              <w:right w:val="outset" w:color="auto" w:sz="6" w:space="0"/>
            </w:tcBorders>
            <w:vAlign w:val="center"/>
          </w:tcPr>
          <w:p w14:paraId="009A9293">
            <w:pPr>
              <w:keepNext w:val="0"/>
              <w:keepLines w:val="0"/>
              <w:pageBreakBefore w:val="0"/>
              <w:widowControl w:val="0"/>
              <w:kinsoku/>
              <w:wordWrap/>
              <w:overflowPunct/>
              <w:topLinePunct w:val="0"/>
              <w:autoSpaceDE/>
              <w:autoSpaceDN/>
              <w:bidi w:val="0"/>
              <w:adjustRightInd/>
              <w:snapToGrid/>
              <w:spacing w:line="380" w:lineRule="exact"/>
              <w:ind w:left="105" w:leftChars="50" w:right="105" w:rightChars="50" w:firstLine="105" w:firstLineChars="44"/>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3392" w:type="pct"/>
            <w:tcBorders>
              <w:top w:val="outset" w:color="auto" w:sz="6" w:space="0"/>
              <w:left w:val="outset" w:color="auto" w:sz="6" w:space="0"/>
              <w:bottom w:val="outset" w:color="auto" w:sz="6" w:space="0"/>
              <w:right w:val="outset" w:color="auto" w:sz="6" w:space="0"/>
            </w:tcBorders>
            <w:vAlign w:val="center"/>
          </w:tcPr>
          <w:p w14:paraId="0B2A0E15">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针对供应商内部质量管理方案进行综合评审，包括：采购、贮存、运输过程质量保障、交货验收、使用等质量管理方案。每项科学合理得2分，最多得10分；质量管理方案每项有欠缺或未提供不得分。</w:t>
            </w:r>
          </w:p>
        </w:tc>
      </w:tr>
      <w:tr w14:paraId="1F3EAA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27" w:type="pct"/>
            <w:tcBorders>
              <w:top w:val="outset" w:color="auto" w:sz="6" w:space="0"/>
              <w:left w:val="outset" w:color="auto" w:sz="6" w:space="0"/>
              <w:bottom w:val="outset" w:color="auto" w:sz="6" w:space="0"/>
              <w:right w:val="outset" w:color="auto" w:sz="6" w:space="0"/>
            </w:tcBorders>
            <w:vAlign w:val="center"/>
          </w:tcPr>
          <w:p w14:paraId="4056DE6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3</w:t>
            </w:r>
          </w:p>
        </w:tc>
        <w:tc>
          <w:tcPr>
            <w:tcW w:w="365" w:type="pct"/>
            <w:tcBorders>
              <w:top w:val="outset" w:color="auto" w:sz="6" w:space="0"/>
              <w:left w:val="outset" w:color="auto" w:sz="6" w:space="0"/>
              <w:bottom w:val="outset" w:color="auto" w:sz="6" w:space="0"/>
              <w:right w:val="outset" w:color="auto" w:sz="6" w:space="0"/>
            </w:tcBorders>
            <w:vAlign w:val="center"/>
          </w:tcPr>
          <w:p w14:paraId="25E9942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价格评议</w:t>
            </w:r>
          </w:p>
        </w:tc>
        <w:tc>
          <w:tcPr>
            <w:tcW w:w="610" w:type="pct"/>
            <w:tcBorders>
              <w:top w:val="outset" w:color="auto" w:sz="6" w:space="0"/>
              <w:left w:val="outset" w:color="auto" w:sz="6" w:space="0"/>
              <w:bottom w:val="outset" w:color="auto" w:sz="6" w:space="0"/>
              <w:right w:val="outset" w:color="auto" w:sz="6" w:space="0"/>
            </w:tcBorders>
            <w:vAlign w:val="center"/>
          </w:tcPr>
          <w:p w14:paraId="3798FCD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价格分</w:t>
            </w:r>
          </w:p>
        </w:tc>
        <w:tc>
          <w:tcPr>
            <w:tcW w:w="404" w:type="pct"/>
            <w:tcBorders>
              <w:top w:val="outset" w:color="auto" w:sz="6" w:space="0"/>
              <w:left w:val="outset" w:color="auto" w:sz="6" w:space="0"/>
              <w:bottom w:val="outset" w:color="auto" w:sz="6" w:space="0"/>
              <w:right w:val="outset" w:color="auto" w:sz="6" w:space="0"/>
            </w:tcBorders>
            <w:vAlign w:val="center"/>
          </w:tcPr>
          <w:p w14:paraId="3B1A353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.00</w:t>
            </w:r>
          </w:p>
        </w:tc>
        <w:tc>
          <w:tcPr>
            <w:tcW w:w="3392" w:type="pct"/>
            <w:tcBorders>
              <w:top w:val="outset" w:color="auto" w:sz="6" w:space="0"/>
              <w:left w:val="outset" w:color="auto" w:sz="6" w:space="0"/>
              <w:bottom w:val="outset" w:color="auto" w:sz="6" w:space="0"/>
              <w:right w:val="outset" w:color="auto" w:sz="6" w:space="0"/>
            </w:tcBorders>
            <w:vAlign w:val="center"/>
          </w:tcPr>
          <w:p w14:paraId="28B4807B">
            <w:pPr>
              <w:pStyle w:val="153"/>
              <w:keepNext w:val="0"/>
              <w:keepLines w:val="0"/>
              <w:pageBreakBefore w:val="0"/>
              <w:widowControl w:val="0"/>
              <w:kinsoku/>
              <w:wordWrap/>
              <w:overflowPunct/>
              <w:topLinePunct w:val="0"/>
              <w:autoSpaceDE/>
              <w:autoSpaceDN/>
              <w:bidi w:val="0"/>
              <w:adjustRightInd/>
              <w:snapToGrid/>
              <w:ind w:left="105" w:leftChars="50" w:right="105" w:rightChars="50"/>
              <w:textAlignment w:val="auto"/>
              <w:rPr>
                <w:rStyle w:val="149"/>
                <w:rFonts w:hint="eastAsia" w:ascii="宋体" w:hAnsi="宋体" w:eastAsia="宋体" w:cs="宋体"/>
                <w:color w:val="auto"/>
                <w:sz w:val="24"/>
                <w:szCs w:val="24"/>
              </w:rPr>
            </w:pPr>
            <w:r>
              <w:rPr>
                <w:rStyle w:val="149"/>
                <w:rFonts w:hint="eastAsia" w:ascii="宋体" w:hAnsi="宋体" w:eastAsia="宋体" w:cs="宋体"/>
                <w:color w:val="auto"/>
                <w:sz w:val="24"/>
                <w:szCs w:val="24"/>
              </w:rPr>
              <w:t>价格分采用低价优先法计算，即满足磋商文件要求且最后报价（落实政府采购政策进行价格调整的，以调整后的价格计算）最低的供应商的价格</w:t>
            </w:r>
            <w:r>
              <w:rPr>
                <w:rStyle w:val="149"/>
                <w:rFonts w:hint="eastAsia" w:cs="宋体"/>
                <w:color w:val="auto"/>
                <w:sz w:val="24"/>
                <w:szCs w:val="24"/>
                <w:lang w:eastAsia="zh-CN"/>
              </w:rPr>
              <w:t>（</w:t>
            </w:r>
            <w:r>
              <w:rPr>
                <w:rFonts w:hint="eastAsia" w:ascii="宋体" w:hAnsi="宋体" w:eastAsia="宋体" w:cs="宋体"/>
                <w:color w:val="auto"/>
                <w:sz w:val="24"/>
                <w:szCs w:val="24"/>
                <w:lang w:val="zh-CN"/>
              </w:rPr>
              <w:t>以汇总价（即所有单价之和）</w:t>
            </w:r>
            <w:r>
              <w:rPr>
                <w:rStyle w:val="149"/>
                <w:rFonts w:hint="eastAsia" w:ascii="宋体" w:hAnsi="宋体" w:eastAsia="宋体" w:cs="宋体"/>
                <w:color w:val="auto"/>
                <w:sz w:val="24"/>
                <w:szCs w:val="24"/>
              </w:rPr>
              <w:t>为磋商基准价，其价格分为满分。其他供应商的价格分计n算公式：磋商报价得分=（磋商基准价/最后磋商报价）×</w:t>
            </w:r>
            <w:r>
              <w:rPr>
                <w:rStyle w:val="149"/>
                <w:rFonts w:hint="eastAsia" w:cs="宋体"/>
                <w:color w:val="auto"/>
                <w:sz w:val="24"/>
                <w:szCs w:val="24"/>
                <w:lang w:val="en-US" w:eastAsia="zh-CN"/>
              </w:rPr>
              <w:t>3</w:t>
            </w:r>
            <w:r>
              <w:rPr>
                <w:rStyle w:val="149"/>
                <w:rFonts w:hint="eastAsia" w:ascii="宋体" w:hAnsi="宋体" w:eastAsia="宋体" w:cs="宋体"/>
                <w:color w:val="auto"/>
                <w:sz w:val="24"/>
                <w:szCs w:val="24"/>
              </w:rPr>
              <w:t>0</w:t>
            </w:r>
          </w:p>
          <w:p w14:paraId="4D9DCC73">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Style w:val="149"/>
                <w:rFonts w:hint="eastAsia" w:ascii="宋体" w:hAnsi="宋体" w:eastAsia="宋体" w:cs="宋体"/>
                <w:color w:val="auto"/>
                <w:sz w:val="24"/>
                <w:szCs w:val="24"/>
              </w:rPr>
              <w:t>备注：符合供应商须知中价格扣除规定的，在评审时予以价格扣除，用扣除后的价格参与评审。</w:t>
            </w:r>
          </w:p>
        </w:tc>
      </w:tr>
    </w:tbl>
    <w:p w14:paraId="6131126A">
      <w:pPr>
        <w:spacing w:before="60" w:after="60" w:line="360" w:lineRule="exact"/>
        <w:rPr>
          <w:rFonts w:ascii="宋体" w:hAnsi="宋体"/>
          <w:b/>
          <w:bCs/>
          <w:color w:val="auto"/>
          <w:sz w:val="24"/>
          <w:szCs w:val="24"/>
          <w:highlight w:val="none"/>
        </w:rPr>
      </w:pPr>
      <w:r>
        <w:rPr>
          <w:rFonts w:ascii="宋体" w:hAnsi="宋体"/>
          <w:b/>
          <w:bCs/>
          <w:color w:val="auto"/>
          <w:sz w:val="24"/>
          <w:szCs w:val="24"/>
          <w:highlight w:val="none"/>
        </w:rPr>
        <w:t>确定成交供应商</w:t>
      </w:r>
    </w:p>
    <w:p w14:paraId="75F8E699">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4AA2A775">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采购人从评审报告提出的成交候选供应商中，按照排序由高到低的原则确定成交供应商。</w:t>
      </w:r>
    </w:p>
    <w:p w14:paraId="624D65BF">
      <w:pP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br w:type="page"/>
      </w:r>
    </w:p>
    <w:p w14:paraId="187CE4BE">
      <w:pPr>
        <w:widowControl/>
        <w:spacing w:line="52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rPr>
        <w:t>第五章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合同书（参考格式）</w:t>
      </w:r>
    </w:p>
    <w:p w14:paraId="05A5C988">
      <w:pPr>
        <w:spacing w:line="520" w:lineRule="exact"/>
        <w:ind w:firstLine="800" w:firstLineChars="200"/>
        <w:rPr>
          <w:rFonts w:ascii="Times New Roman" w:hAnsi="Times New Roman" w:eastAsia="方正小标宋简体"/>
          <w:color w:val="auto"/>
          <w:sz w:val="40"/>
          <w:szCs w:val="40"/>
          <w:highlight w:val="none"/>
        </w:rPr>
      </w:pPr>
    </w:p>
    <w:p w14:paraId="5487F555">
      <w:pPr>
        <w:spacing w:line="300" w:lineRule="auto"/>
        <w:ind w:firstLine="480" w:firstLineChars="200"/>
        <w:rPr>
          <w:rFonts w:ascii="Times New Roman" w:hAnsi="Times New Roman"/>
          <w:color w:val="auto"/>
          <w:spacing w:val="-10"/>
          <w:sz w:val="24"/>
          <w:szCs w:val="24"/>
          <w:highlight w:val="none"/>
        </w:rPr>
      </w:pPr>
      <w:r>
        <w:rPr>
          <w:rFonts w:ascii="Times New Roman" w:hAnsi="Times New Roman"/>
          <w:color w:val="auto"/>
          <w:sz w:val="24"/>
          <w:szCs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3074E4EB">
      <w:pPr>
        <w:spacing w:line="500" w:lineRule="exact"/>
        <w:ind w:firstLine="540"/>
        <w:jc w:val="center"/>
        <w:rPr>
          <w:rFonts w:ascii="Times New Roman" w:hAnsi="Times New Roman"/>
          <w:b/>
          <w:color w:val="auto"/>
          <w:kern w:val="0"/>
          <w:sz w:val="24"/>
          <w:szCs w:val="24"/>
          <w:highlight w:val="none"/>
        </w:rPr>
      </w:pPr>
    </w:p>
    <w:p w14:paraId="7D471012">
      <w:pPr>
        <w:spacing w:line="500" w:lineRule="exact"/>
        <w:jc w:val="center"/>
        <w:rPr>
          <w:rFonts w:ascii="Times New Roman" w:hAnsi="Times New Roman" w:eastAsia="黑体"/>
          <w:color w:val="auto"/>
          <w:kern w:val="0"/>
          <w:sz w:val="28"/>
          <w:szCs w:val="28"/>
          <w:highlight w:val="none"/>
        </w:rPr>
      </w:pPr>
      <w:r>
        <w:rPr>
          <w:rFonts w:ascii="Times New Roman" w:hAnsi="Times New Roman" w:eastAsia="黑体"/>
          <w:color w:val="auto"/>
          <w:kern w:val="0"/>
          <w:sz w:val="28"/>
          <w:szCs w:val="28"/>
          <w:highlight w:val="none"/>
        </w:rPr>
        <w:t>合</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同</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书</w:t>
      </w:r>
    </w:p>
    <w:p w14:paraId="0C2AB038">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项目名称：</w:t>
      </w:r>
    </w:p>
    <w:p w14:paraId="18478C5A">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合同编号：</w:t>
      </w:r>
    </w:p>
    <w:p w14:paraId="4BE14FC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签订日期：</w:t>
      </w:r>
    </w:p>
    <w:p w14:paraId="3DCE5651">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签订合同地点：</w:t>
      </w:r>
    </w:p>
    <w:p w14:paraId="4A4B265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本合同由（以下简称“需方”）与（以下简称“供方”）签订。</w:t>
      </w:r>
    </w:p>
    <w:p w14:paraId="0C2AF1F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供方以总金额万元人民币（用大写数字书写）向需方提供如下货物：</w:t>
      </w:r>
    </w:p>
    <w:p w14:paraId="29030C0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经双方协商，同意按下列条文执行：</w:t>
      </w:r>
    </w:p>
    <w:p w14:paraId="245D385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宋体" w:hAnsi="宋体"/>
          <w:color w:val="auto"/>
          <w:sz w:val="24"/>
          <w:szCs w:val="24"/>
          <w:highlight w:val="none"/>
        </w:rPr>
        <w:t>.</w:t>
      </w:r>
      <w:r>
        <w:rPr>
          <w:rFonts w:ascii="Times New Roman" w:hAnsi="Times New Roman"/>
          <w:color w:val="auto"/>
          <w:kern w:val="0"/>
          <w:sz w:val="24"/>
          <w:szCs w:val="24"/>
          <w:highlight w:val="none"/>
        </w:rPr>
        <w:t>本合同供、需双方必须遵守国家颁布的《中华人民共和国合同法》、《中华人民共和国政府采购法》，并各自履行应负的全部责任和义务。</w:t>
      </w:r>
    </w:p>
    <w:p w14:paraId="44417BE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宋体" w:hAnsi="宋体"/>
          <w:color w:val="auto"/>
          <w:sz w:val="24"/>
          <w:szCs w:val="24"/>
          <w:highlight w:val="none"/>
        </w:rPr>
        <w:t>.</w:t>
      </w:r>
      <w:r>
        <w:rPr>
          <w:rFonts w:ascii="Times New Roman" w:hAnsi="Times New Roman"/>
          <w:color w:val="auto"/>
          <w:kern w:val="0"/>
          <w:sz w:val="24"/>
          <w:szCs w:val="24"/>
          <w:highlight w:val="none"/>
        </w:rPr>
        <w:t>需方保证按合同条款规定的时间和方式付给供方到期应付的货款，并承担应负的责任和义务。</w:t>
      </w:r>
    </w:p>
    <w:p w14:paraId="15874D1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宋体" w:hAnsi="宋体"/>
          <w:color w:val="auto"/>
          <w:sz w:val="24"/>
          <w:szCs w:val="24"/>
          <w:highlight w:val="none"/>
        </w:rPr>
        <w:t>.</w:t>
      </w:r>
      <w:r>
        <w:rPr>
          <w:rFonts w:ascii="Times New Roman" w:hAnsi="Times New Roman"/>
          <w:color w:val="auto"/>
          <w:kern w:val="0"/>
          <w:sz w:val="24"/>
          <w:szCs w:val="24"/>
          <w:highlight w:val="none"/>
        </w:rPr>
        <w:t>供方保证全部按合同条款规定的内容和交货期向需方提供合格的货物，并承担应负的责任和义务。</w:t>
      </w:r>
    </w:p>
    <w:p w14:paraId="4192A7F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合同文件</w:t>
      </w:r>
    </w:p>
    <w:p w14:paraId="6CCC6C4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下列文件为本合同不可分割的部分：</w:t>
      </w:r>
    </w:p>
    <w:p w14:paraId="3802CF18">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1竞争性磋商文件(编号：　　　　)；</w:t>
      </w:r>
    </w:p>
    <w:p w14:paraId="261B422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2供方成交的响应文件（副本）；</w:t>
      </w:r>
    </w:p>
    <w:p w14:paraId="77A11676">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3合同书；</w:t>
      </w:r>
    </w:p>
    <w:p w14:paraId="42E4B24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4合同条款；</w:t>
      </w:r>
    </w:p>
    <w:p w14:paraId="548A8C4B">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5</w:t>
      </w:r>
      <w:r>
        <w:rPr>
          <w:rFonts w:ascii="Times New Roman" w:hAnsi="Times New Roman"/>
          <w:color w:val="auto"/>
          <w:kern w:val="0"/>
          <w:sz w:val="24"/>
          <w:szCs w:val="20"/>
          <w:highlight w:val="none"/>
        </w:rPr>
        <w:t>（</w:t>
      </w:r>
      <w:r>
        <w:rPr>
          <w:rFonts w:hint="eastAsia" w:ascii="Times New Roman" w:hAnsi="Times New Roman"/>
          <w:color w:val="auto"/>
          <w:kern w:val="0"/>
          <w:sz w:val="24"/>
          <w:szCs w:val="20"/>
          <w:highlight w:val="none"/>
          <w:lang w:eastAsia="zh-CN"/>
        </w:rPr>
        <w:t>分散采购</w:t>
      </w:r>
      <w:r>
        <w:rPr>
          <w:rFonts w:ascii="Times New Roman" w:hAnsi="Times New Roman"/>
          <w:color w:val="auto"/>
          <w:kern w:val="0"/>
          <w:sz w:val="24"/>
          <w:szCs w:val="20"/>
          <w:highlight w:val="none"/>
        </w:rPr>
        <w:t>机构名称）</w:t>
      </w:r>
      <w:r>
        <w:rPr>
          <w:rFonts w:ascii="Times New Roman" w:hAnsi="Times New Roman"/>
          <w:color w:val="auto"/>
          <w:kern w:val="0"/>
          <w:sz w:val="24"/>
          <w:szCs w:val="24"/>
          <w:highlight w:val="none"/>
        </w:rPr>
        <w:t>发出的成交通知书；</w:t>
      </w:r>
    </w:p>
    <w:p w14:paraId="6A4FC53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6在商洽本合同时，双方澄清、确认并共同签字的补充文件、技术协议。</w:t>
      </w:r>
    </w:p>
    <w:p w14:paraId="27E8E4E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宋体" w:hAnsi="宋体"/>
          <w:color w:val="auto"/>
          <w:sz w:val="24"/>
          <w:szCs w:val="24"/>
          <w:highlight w:val="none"/>
        </w:rPr>
        <w:t>.</w:t>
      </w:r>
      <w:r>
        <w:rPr>
          <w:rFonts w:ascii="Times New Roman" w:hAnsi="Times New Roman"/>
          <w:color w:val="auto"/>
          <w:kern w:val="0"/>
          <w:sz w:val="24"/>
          <w:szCs w:val="24"/>
          <w:highlight w:val="none"/>
        </w:rPr>
        <w:t>合同范围和条件</w:t>
      </w:r>
    </w:p>
    <w:p w14:paraId="1FC45F9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本合同的范围和条件应与上述规定的合同文件内容相一致。</w:t>
      </w:r>
    </w:p>
    <w:p w14:paraId="2680104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宋体" w:hAnsi="宋体"/>
          <w:color w:val="auto"/>
          <w:sz w:val="24"/>
          <w:szCs w:val="24"/>
          <w:highlight w:val="none"/>
        </w:rPr>
        <w:t>.</w:t>
      </w:r>
      <w:r>
        <w:rPr>
          <w:rFonts w:ascii="Times New Roman" w:hAnsi="Times New Roman"/>
          <w:color w:val="auto"/>
          <w:kern w:val="0"/>
          <w:sz w:val="24"/>
          <w:szCs w:val="24"/>
          <w:highlight w:val="none"/>
        </w:rPr>
        <w:t>货物及数量</w:t>
      </w:r>
    </w:p>
    <w:p w14:paraId="77A2AAD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本合同所提供的货物及数量详见磋商文件的要求及供方响应文件中的承诺。</w:t>
      </w:r>
    </w:p>
    <w:p w14:paraId="3245430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w:t>
      </w:r>
      <w:r>
        <w:rPr>
          <w:rFonts w:ascii="宋体" w:hAnsi="宋体"/>
          <w:color w:val="auto"/>
          <w:sz w:val="24"/>
          <w:szCs w:val="24"/>
          <w:highlight w:val="none"/>
        </w:rPr>
        <w:t>.</w:t>
      </w:r>
      <w:r>
        <w:rPr>
          <w:rFonts w:ascii="Times New Roman" w:hAnsi="Times New Roman"/>
          <w:color w:val="auto"/>
          <w:kern w:val="0"/>
          <w:sz w:val="24"/>
          <w:szCs w:val="24"/>
          <w:highlight w:val="none"/>
        </w:rPr>
        <w:t>付款条件</w:t>
      </w:r>
    </w:p>
    <w:p w14:paraId="2DDD277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本合同的付款条件在磋商文件的磋商书中有明确规定。</w:t>
      </w:r>
    </w:p>
    <w:p w14:paraId="5E8AB9A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w:t>
      </w:r>
      <w:r>
        <w:rPr>
          <w:rFonts w:ascii="宋体" w:hAnsi="宋体"/>
          <w:color w:val="auto"/>
          <w:sz w:val="24"/>
          <w:szCs w:val="24"/>
          <w:highlight w:val="none"/>
        </w:rPr>
        <w:t>.</w:t>
      </w:r>
      <w:r>
        <w:rPr>
          <w:rFonts w:ascii="Times New Roman" w:hAnsi="Times New Roman"/>
          <w:color w:val="auto"/>
          <w:kern w:val="0"/>
          <w:sz w:val="24"/>
          <w:szCs w:val="24"/>
          <w:highlight w:val="none"/>
        </w:rPr>
        <w:t>合同金额</w:t>
      </w:r>
    </w:p>
    <w:p w14:paraId="21FDFCD2">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合同总金额见合同书，分项价格在供方的最终报价表中有明确规定。</w:t>
      </w:r>
    </w:p>
    <w:p w14:paraId="7FE19C3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w:t>
      </w:r>
      <w:r>
        <w:rPr>
          <w:rFonts w:ascii="宋体" w:hAnsi="宋体"/>
          <w:color w:val="auto"/>
          <w:sz w:val="24"/>
          <w:szCs w:val="24"/>
          <w:highlight w:val="none"/>
        </w:rPr>
        <w:t>.</w:t>
      </w:r>
      <w:r>
        <w:rPr>
          <w:rFonts w:ascii="Times New Roman" w:hAnsi="Times New Roman"/>
          <w:color w:val="auto"/>
          <w:kern w:val="0"/>
          <w:sz w:val="24"/>
          <w:szCs w:val="24"/>
          <w:highlight w:val="none"/>
        </w:rPr>
        <w:t>交货时间和交货地点</w:t>
      </w:r>
    </w:p>
    <w:p w14:paraId="7E4DEB3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本合同中货物的交货时间、交货地点在竞争性磋商文件中有明确规定。</w:t>
      </w:r>
    </w:p>
    <w:p w14:paraId="281A2D61">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w:t>
      </w:r>
      <w:r>
        <w:rPr>
          <w:rFonts w:ascii="宋体" w:hAnsi="宋体"/>
          <w:color w:val="auto"/>
          <w:sz w:val="24"/>
          <w:szCs w:val="24"/>
          <w:highlight w:val="none"/>
        </w:rPr>
        <w:t>.</w:t>
      </w:r>
      <w:r>
        <w:rPr>
          <w:rFonts w:ascii="Times New Roman" w:hAnsi="Times New Roman"/>
          <w:color w:val="auto"/>
          <w:kern w:val="0"/>
          <w:sz w:val="24"/>
          <w:szCs w:val="24"/>
          <w:highlight w:val="none"/>
        </w:rPr>
        <w:t>合同生效</w:t>
      </w:r>
    </w:p>
    <w:p w14:paraId="02F9CCB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本合同经供、需双方授权代表签字和加盖公章（或合同专用章）后生效。如申请公证的，合同需经公证机构公证后生效。</w:t>
      </w:r>
    </w:p>
    <w:p w14:paraId="7A29F2A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r>
        <w:rPr>
          <w:rFonts w:ascii="宋体" w:hAnsi="宋体"/>
          <w:color w:val="auto"/>
          <w:sz w:val="24"/>
          <w:szCs w:val="24"/>
          <w:highlight w:val="none"/>
        </w:rPr>
        <w:t>.</w:t>
      </w:r>
      <w:r>
        <w:rPr>
          <w:rFonts w:ascii="Times New Roman" w:hAnsi="Times New Roman"/>
          <w:color w:val="auto"/>
          <w:kern w:val="0"/>
          <w:sz w:val="24"/>
          <w:szCs w:val="24"/>
          <w:highlight w:val="none"/>
        </w:rPr>
        <w:t>合同的份数</w:t>
      </w:r>
    </w:p>
    <w:p w14:paraId="056479E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本合同正本一式　　份，需方执　　份，供方执　　份；副本一式　　份，需方执　　份，供方执　　份，湖北省财政厅政府采购管理处壹份备案。</w:t>
      </w:r>
    </w:p>
    <w:p w14:paraId="4C62E507">
      <w:pPr>
        <w:autoSpaceDE w:val="0"/>
        <w:autoSpaceDN w:val="0"/>
        <w:adjustRightInd w:val="0"/>
        <w:spacing w:line="440" w:lineRule="exact"/>
        <w:ind w:firstLine="480" w:firstLineChars="200"/>
        <w:rPr>
          <w:rFonts w:ascii="Times New Roman" w:hAnsi="Times New Roman"/>
          <w:color w:val="auto"/>
          <w:kern w:val="0"/>
          <w:sz w:val="24"/>
          <w:szCs w:val="24"/>
          <w:highlight w:val="none"/>
        </w:rPr>
      </w:pPr>
    </w:p>
    <w:p w14:paraId="101A5F94">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需　　方：</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供　　方：</w:t>
      </w:r>
    </w:p>
    <w:p w14:paraId="7B82B7AF">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单位名称（盖章）：</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单位名称（盖章）：</w:t>
      </w:r>
    </w:p>
    <w:p w14:paraId="7B22871A">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单位地址：</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单位地址：</w:t>
      </w:r>
    </w:p>
    <w:p w14:paraId="1100B244">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法人（负责人）代表授权人(签字)：</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法人（负责人）代表授权人(签字)：</w:t>
      </w:r>
    </w:p>
    <w:p w14:paraId="21A75811">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联系人：</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联系人：</w:t>
      </w:r>
    </w:p>
    <w:p w14:paraId="2A31983B">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电　　话：</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电　　话：</w:t>
      </w:r>
    </w:p>
    <w:p w14:paraId="504B5C95">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传　　真：</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传　　真：</w:t>
      </w:r>
    </w:p>
    <w:p w14:paraId="6DDD1582">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邮政编码：</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邮政编码：</w:t>
      </w:r>
    </w:p>
    <w:p w14:paraId="7DC00FD7">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开户银行：</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开户银行：</w:t>
      </w:r>
    </w:p>
    <w:p w14:paraId="7D4320F0">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帐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帐　　号：</w:t>
      </w:r>
    </w:p>
    <w:p w14:paraId="11E99D87">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税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税　　号：</w:t>
      </w:r>
    </w:p>
    <w:p w14:paraId="56A1E689">
      <w:pPr>
        <w:widowControl/>
        <w:jc w:val="left"/>
        <w:rPr>
          <w:rFonts w:ascii="Times New Roman" w:hAnsi="Times New Roman"/>
          <w:b/>
          <w:color w:val="auto"/>
          <w:sz w:val="24"/>
          <w:szCs w:val="24"/>
          <w:highlight w:val="none"/>
        </w:rPr>
      </w:pPr>
    </w:p>
    <w:p w14:paraId="40611A27">
      <w:pPr>
        <w:adjustRightInd w:val="0"/>
        <w:snapToGrid w:val="0"/>
        <w:spacing w:line="520" w:lineRule="exact"/>
        <w:jc w:val="center"/>
        <w:outlineLvl w:val="0"/>
        <w:rPr>
          <w:rFonts w:ascii="Times New Roman" w:hAnsi="Times New Roman"/>
          <w:b/>
          <w:color w:val="auto"/>
          <w:sz w:val="32"/>
          <w:szCs w:val="32"/>
          <w:highlight w:val="none"/>
        </w:rPr>
      </w:pPr>
      <w:r>
        <w:rPr>
          <w:rFonts w:ascii="Times New Roman" w:hAnsi="Times New Roman"/>
          <w:b/>
          <w:color w:val="auto"/>
          <w:sz w:val="32"/>
          <w:szCs w:val="32"/>
          <w:highlight w:val="none"/>
        </w:rPr>
        <w:br w:type="page"/>
      </w:r>
    </w:p>
    <w:p w14:paraId="531A6B5D">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第六章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响应文件格式</w:t>
      </w:r>
    </w:p>
    <w:p w14:paraId="6466E24E">
      <w:pPr>
        <w:adjustRightInd w:val="0"/>
        <w:snapToGrid w:val="0"/>
        <w:spacing w:line="520" w:lineRule="exact"/>
        <w:jc w:val="center"/>
        <w:outlineLvl w:val="0"/>
        <w:rPr>
          <w:rFonts w:ascii="Times New Roman" w:hAnsi="Times New Roman"/>
          <w:b/>
          <w:color w:val="auto"/>
          <w:sz w:val="18"/>
          <w:szCs w:val="18"/>
          <w:highlight w:val="none"/>
        </w:rPr>
      </w:pPr>
    </w:p>
    <w:p w14:paraId="1958E2E5">
      <w:pPr>
        <w:adjustRightInd w:val="0"/>
        <w:snapToGrid w:val="0"/>
        <w:outlineLvl w:val="0"/>
        <w:rPr>
          <w:rFonts w:ascii="Times New Roman" w:hAnsi="Times New Roman"/>
          <w:color w:val="auto"/>
          <w:szCs w:val="28"/>
          <w:highlight w:val="none"/>
        </w:rPr>
      </w:pPr>
      <w:r>
        <w:rPr>
          <w:rFonts w:ascii="Times New Roman" w:hAnsi="Times New Roman"/>
          <w:color w:val="auto"/>
          <w:szCs w:val="28"/>
          <w:highlight w:val="none"/>
        </w:rPr>
        <w:t>封面：</w:t>
      </w:r>
    </w:p>
    <w:p w14:paraId="487C544C">
      <w:pPr>
        <w:tabs>
          <w:tab w:val="left" w:pos="1260"/>
        </w:tabs>
        <w:jc w:val="center"/>
        <w:rPr>
          <w:rFonts w:ascii="Times New Roman" w:hAnsi="Times New Roman"/>
          <w:b/>
          <w:bCs/>
          <w:color w:val="auto"/>
          <w:spacing w:val="100"/>
          <w:w w:val="110"/>
          <w:sz w:val="36"/>
          <w:szCs w:val="36"/>
          <w:highlight w:val="none"/>
        </w:rPr>
      </w:pPr>
    </w:p>
    <w:p w14:paraId="1A9C344C">
      <w:pPr>
        <w:tabs>
          <w:tab w:val="left" w:pos="1260"/>
        </w:tabs>
        <w:jc w:val="center"/>
        <w:rPr>
          <w:rFonts w:ascii="Times New Roman" w:hAnsi="Times New Roman"/>
          <w:bCs/>
          <w:color w:val="auto"/>
          <w:sz w:val="48"/>
          <w:szCs w:val="48"/>
          <w:highlight w:val="none"/>
        </w:rPr>
      </w:pPr>
      <w:r>
        <w:rPr>
          <w:rFonts w:hint="eastAsia" w:ascii="Times New Roman" w:hAnsi="Times New Roman"/>
          <w:bCs/>
          <w:color w:val="auto"/>
          <w:sz w:val="48"/>
          <w:szCs w:val="48"/>
          <w:highlight w:val="none"/>
        </w:rPr>
        <w:t>洪湖市</w:t>
      </w:r>
      <w:r>
        <w:rPr>
          <w:rFonts w:ascii="Times New Roman" w:hAnsi="Times New Roman"/>
          <w:bCs/>
          <w:color w:val="auto"/>
          <w:sz w:val="48"/>
          <w:szCs w:val="48"/>
          <w:highlight w:val="none"/>
        </w:rPr>
        <w:t>政府采购</w:t>
      </w:r>
    </w:p>
    <w:p w14:paraId="5286F4A2">
      <w:pPr>
        <w:tabs>
          <w:tab w:val="left" w:pos="1260"/>
        </w:tabs>
        <w:jc w:val="center"/>
        <w:rPr>
          <w:rFonts w:ascii="Times New Roman" w:hAnsi="Times New Roman"/>
          <w:bCs/>
          <w:color w:val="auto"/>
          <w:spacing w:val="100"/>
          <w:w w:val="110"/>
          <w:sz w:val="52"/>
          <w:szCs w:val="52"/>
          <w:highlight w:val="none"/>
        </w:rPr>
      </w:pPr>
    </w:p>
    <w:p w14:paraId="31E08FCF">
      <w:pPr>
        <w:tabs>
          <w:tab w:val="left" w:pos="1260"/>
        </w:tabs>
        <w:jc w:val="center"/>
        <w:rPr>
          <w:rFonts w:ascii="Times New Roman" w:hAnsi="Times New Roman" w:eastAsia="方正小标宋简体"/>
          <w:color w:val="auto"/>
          <w:spacing w:val="100"/>
          <w:w w:val="110"/>
          <w:sz w:val="80"/>
          <w:szCs w:val="80"/>
          <w:highlight w:val="none"/>
        </w:rPr>
      </w:pPr>
      <w:r>
        <w:rPr>
          <w:rFonts w:ascii="Times New Roman" w:hAnsi="Times New Roman" w:eastAsia="方正小标宋简体"/>
          <w:bCs/>
          <w:color w:val="auto"/>
          <w:spacing w:val="100"/>
          <w:w w:val="110"/>
          <w:sz w:val="80"/>
          <w:szCs w:val="80"/>
          <w:highlight w:val="none"/>
        </w:rPr>
        <w:t>响应文件</w:t>
      </w:r>
    </w:p>
    <w:p w14:paraId="3A424F6C">
      <w:pPr>
        <w:jc w:val="center"/>
        <w:rPr>
          <w:rFonts w:ascii="Times New Roman" w:hAnsi="Times New Roman"/>
          <w:color w:val="auto"/>
          <w:sz w:val="44"/>
          <w:szCs w:val="21"/>
          <w:highlight w:val="none"/>
        </w:rPr>
      </w:pPr>
      <w:r>
        <w:rPr>
          <w:rFonts w:ascii="Times New Roman" w:hAnsi="Times New Roman"/>
          <w:color w:val="auto"/>
          <w:sz w:val="44"/>
          <w:szCs w:val="21"/>
          <w:highlight w:val="none"/>
        </w:rPr>
        <w:t>（正本/副本）</w:t>
      </w:r>
    </w:p>
    <w:p w14:paraId="0EAA9E35">
      <w:pPr>
        <w:jc w:val="center"/>
        <w:rPr>
          <w:rFonts w:ascii="Times New Roman" w:hAnsi="Times New Roman"/>
          <w:color w:val="auto"/>
          <w:sz w:val="44"/>
          <w:szCs w:val="21"/>
          <w:highlight w:val="none"/>
        </w:rPr>
      </w:pPr>
    </w:p>
    <w:p w14:paraId="33EE1A5E">
      <w:pPr>
        <w:spacing w:line="360" w:lineRule="auto"/>
        <w:ind w:firstLine="1120" w:firstLineChars="400"/>
        <w:rPr>
          <w:rFonts w:ascii="Times New Roman" w:hAnsi="Times New Roman" w:eastAsia="黑体"/>
          <w:color w:val="auto"/>
          <w:sz w:val="28"/>
          <w:szCs w:val="28"/>
          <w:highlight w:val="none"/>
        </w:rPr>
      </w:pPr>
    </w:p>
    <w:p w14:paraId="4028C802">
      <w:pPr>
        <w:spacing w:line="360" w:lineRule="auto"/>
        <w:ind w:firstLine="1120" w:firstLineChars="400"/>
        <w:rPr>
          <w:rFonts w:ascii="Times New Roman" w:hAnsi="Times New Roman" w:eastAsia="黑体"/>
          <w:color w:val="auto"/>
          <w:sz w:val="28"/>
          <w:szCs w:val="28"/>
          <w:highlight w:val="none"/>
        </w:rPr>
      </w:pPr>
    </w:p>
    <w:p w14:paraId="05354C05">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项目编号：</w:t>
      </w:r>
    </w:p>
    <w:p w14:paraId="20A1D737">
      <w:pPr>
        <w:spacing w:line="360" w:lineRule="auto"/>
        <w:ind w:firstLine="1120" w:firstLineChars="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项目名称：</w:t>
      </w:r>
    </w:p>
    <w:p w14:paraId="7F8AC5BE">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磋商内容：</w:t>
      </w:r>
    </w:p>
    <w:p w14:paraId="4CF99BB9">
      <w:pPr>
        <w:ind w:firstLine="840" w:firstLineChars="300"/>
        <w:rPr>
          <w:rFonts w:ascii="Times New Roman" w:hAnsi="Times New Roman" w:eastAsia="黑体"/>
          <w:color w:val="auto"/>
          <w:sz w:val="28"/>
          <w:szCs w:val="28"/>
          <w:highlight w:val="none"/>
        </w:rPr>
      </w:pPr>
    </w:p>
    <w:p w14:paraId="49F01378">
      <w:pPr>
        <w:ind w:firstLine="840" w:firstLineChars="300"/>
        <w:rPr>
          <w:rFonts w:ascii="Times New Roman" w:hAnsi="Times New Roman" w:eastAsia="黑体"/>
          <w:color w:val="auto"/>
          <w:sz w:val="28"/>
          <w:szCs w:val="28"/>
          <w:highlight w:val="none"/>
        </w:rPr>
      </w:pPr>
    </w:p>
    <w:p w14:paraId="59FEC1E4">
      <w:pPr>
        <w:ind w:firstLine="840" w:firstLineChars="300"/>
        <w:rPr>
          <w:rFonts w:ascii="Times New Roman" w:hAnsi="Times New Roman" w:eastAsia="黑体"/>
          <w:color w:val="auto"/>
          <w:sz w:val="28"/>
          <w:szCs w:val="28"/>
          <w:highlight w:val="none"/>
        </w:rPr>
      </w:pPr>
    </w:p>
    <w:p w14:paraId="624A7D3A">
      <w:pPr>
        <w:ind w:firstLine="840" w:firstLineChars="300"/>
        <w:rPr>
          <w:rFonts w:ascii="Times New Roman" w:hAnsi="Times New Roman" w:eastAsia="黑体"/>
          <w:color w:val="auto"/>
          <w:sz w:val="28"/>
          <w:szCs w:val="28"/>
          <w:highlight w:val="none"/>
        </w:rPr>
      </w:pPr>
    </w:p>
    <w:p w14:paraId="19A088CC">
      <w:pPr>
        <w:ind w:firstLine="840" w:firstLineChars="300"/>
        <w:rPr>
          <w:rFonts w:ascii="Times New Roman" w:hAnsi="Times New Roman" w:eastAsia="黑体"/>
          <w:color w:val="auto"/>
          <w:sz w:val="28"/>
          <w:szCs w:val="28"/>
          <w:highlight w:val="none"/>
        </w:rPr>
      </w:pPr>
    </w:p>
    <w:p w14:paraId="5D84F742">
      <w:pPr>
        <w:ind w:firstLine="840" w:firstLineChars="300"/>
        <w:rPr>
          <w:rFonts w:ascii="Times New Roman" w:hAnsi="Times New Roman" w:eastAsia="黑体"/>
          <w:color w:val="auto"/>
          <w:sz w:val="28"/>
          <w:szCs w:val="28"/>
          <w:highlight w:val="none"/>
        </w:rPr>
      </w:pPr>
    </w:p>
    <w:p w14:paraId="5E6B8B16">
      <w:pPr>
        <w:ind w:firstLine="840" w:firstLineChars="300"/>
        <w:rPr>
          <w:rFonts w:ascii="Times New Roman" w:hAnsi="Times New Roman" w:eastAsia="黑体"/>
          <w:color w:val="auto"/>
          <w:sz w:val="28"/>
          <w:szCs w:val="28"/>
          <w:highlight w:val="none"/>
        </w:rPr>
      </w:pPr>
    </w:p>
    <w:p w14:paraId="46F0B04D">
      <w:pPr>
        <w:ind w:firstLine="840" w:firstLineChars="300"/>
        <w:rPr>
          <w:rFonts w:ascii="Times New Roman" w:hAnsi="Times New Roman" w:eastAsia="黑体"/>
          <w:color w:val="auto"/>
          <w:sz w:val="28"/>
          <w:szCs w:val="28"/>
          <w:highlight w:val="none"/>
        </w:rPr>
      </w:pPr>
    </w:p>
    <w:p w14:paraId="4749F3AF">
      <w:pPr>
        <w:ind w:firstLine="840" w:firstLineChars="300"/>
        <w:rPr>
          <w:rFonts w:ascii="Times New Roman" w:hAnsi="Times New Roman" w:eastAsia="黑体"/>
          <w:color w:val="auto"/>
          <w:sz w:val="28"/>
          <w:szCs w:val="28"/>
          <w:highlight w:val="none"/>
        </w:rPr>
      </w:pPr>
    </w:p>
    <w:p w14:paraId="7A2A2BEB">
      <w:pPr>
        <w:ind w:firstLine="840" w:firstLineChars="300"/>
        <w:rPr>
          <w:rFonts w:ascii="Times New Roman" w:hAnsi="Times New Roman" w:eastAsia="黑体"/>
          <w:color w:val="auto"/>
          <w:sz w:val="28"/>
          <w:szCs w:val="28"/>
          <w:highlight w:val="none"/>
        </w:rPr>
      </w:pPr>
    </w:p>
    <w:p w14:paraId="06C30702">
      <w:pPr>
        <w:ind w:firstLine="840" w:firstLineChars="300"/>
        <w:rPr>
          <w:rFonts w:ascii="Times New Roman" w:hAnsi="Times New Roman" w:eastAsia="黑体"/>
          <w:color w:val="auto"/>
          <w:sz w:val="28"/>
          <w:szCs w:val="28"/>
          <w:highlight w:val="none"/>
        </w:rPr>
      </w:pPr>
    </w:p>
    <w:p w14:paraId="02316140">
      <w:pPr>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供应商名称：</w:t>
      </w:r>
    </w:p>
    <w:p w14:paraId="003C08B0">
      <w:pPr>
        <w:spacing w:line="360" w:lineRule="auto"/>
        <w:jc w:val="center"/>
        <w:rPr>
          <w:rFonts w:ascii="Times New Roman" w:hAnsi="Times New Roman" w:eastAsia="黑体"/>
          <w:color w:val="auto"/>
          <w:sz w:val="28"/>
          <w:szCs w:val="28"/>
          <w:highlight w:val="none"/>
        </w:rPr>
      </w:pPr>
    </w:p>
    <w:p w14:paraId="20252357">
      <w:pPr>
        <w:spacing w:line="360" w:lineRule="auto"/>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日</w:t>
      </w:r>
    </w:p>
    <w:p w14:paraId="37D9F9B5">
      <w:pPr>
        <w:adjustRightInd w:val="0"/>
        <w:snapToGrid w:val="0"/>
        <w:spacing w:line="520" w:lineRule="exact"/>
        <w:jc w:val="center"/>
        <w:outlineLvl w:val="0"/>
        <w:rPr>
          <w:rFonts w:ascii="Times New Roman" w:hAnsi="Times New Roman"/>
          <w:b/>
          <w:color w:val="auto"/>
          <w:highlight w:val="none"/>
        </w:rPr>
      </w:pPr>
      <w:r>
        <w:rPr>
          <w:rFonts w:ascii="Times New Roman" w:hAnsi="Times New Roman"/>
          <w:b/>
          <w:color w:val="auto"/>
          <w:highlight w:val="none"/>
        </w:rPr>
        <w:br w:type="page"/>
      </w:r>
    </w:p>
    <w:p w14:paraId="558F4666">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510A7926">
      <w:pPr>
        <w:adjustRightInd w:val="0"/>
        <w:snapToGrid w:val="0"/>
        <w:spacing w:line="520" w:lineRule="exact"/>
        <w:jc w:val="center"/>
        <w:outlineLvl w:val="0"/>
        <w:rPr>
          <w:rFonts w:ascii="Times New Roman" w:hAnsi="Times New Roman"/>
          <w:b/>
          <w:color w:val="auto"/>
          <w:sz w:val="32"/>
          <w:szCs w:val="32"/>
          <w:highlight w:val="none"/>
        </w:rPr>
      </w:pPr>
    </w:p>
    <w:p w14:paraId="7DC60B41">
      <w:pPr>
        <w:adjustRightInd w:val="0"/>
        <w:snapToGrid w:val="0"/>
        <w:spacing w:line="520" w:lineRule="exact"/>
        <w:jc w:val="left"/>
        <w:outlineLvl w:val="0"/>
        <w:rPr>
          <w:rFonts w:hint="eastAsia" w:ascii="楷体_GB2312" w:hAnsi="Times New Roman" w:eastAsia="楷体_GB2312"/>
          <w:b/>
          <w:color w:val="auto"/>
          <w:sz w:val="28"/>
          <w:szCs w:val="28"/>
          <w:highlight w:val="none"/>
        </w:rPr>
      </w:pPr>
      <w:r>
        <w:rPr>
          <w:rFonts w:ascii="Times New Roman" w:hAnsi="Times New Roman"/>
          <w:b/>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一</w:t>
      </w:r>
    </w:p>
    <w:p w14:paraId="5337280B">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磋</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商</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书</w:t>
      </w:r>
    </w:p>
    <w:p w14:paraId="567EE89E">
      <w:pPr>
        <w:spacing w:line="520" w:lineRule="exact"/>
        <w:rPr>
          <w:rFonts w:ascii="Times New Roman" w:hAnsi="Times New Roman" w:eastAsia="仿宋_GB2312"/>
          <w:color w:val="auto"/>
          <w:sz w:val="24"/>
          <w:szCs w:val="24"/>
          <w:highlight w:val="none"/>
        </w:rPr>
      </w:pPr>
    </w:p>
    <w:p w14:paraId="33EE6B13">
      <w:pPr>
        <w:spacing w:line="370" w:lineRule="exact"/>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eastAsia="zh-CN"/>
        </w:rPr>
        <w:t>分散采购</w:t>
      </w:r>
      <w:r>
        <w:rPr>
          <w:rFonts w:ascii="Times New Roman" w:hAnsi="Times New Roman"/>
          <w:color w:val="auto"/>
          <w:sz w:val="24"/>
          <w:szCs w:val="24"/>
          <w:highlight w:val="none"/>
          <w:u w:val="single"/>
        </w:rPr>
        <w:t>机构)</w:t>
      </w:r>
    </w:p>
    <w:p w14:paraId="336D428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（项目名称/项目编号）</w:t>
      </w:r>
      <w:r>
        <w:rPr>
          <w:rFonts w:ascii="Times New Roman" w:hAnsi="Times New Roman"/>
          <w:color w:val="auto"/>
          <w:sz w:val="24"/>
          <w:szCs w:val="24"/>
          <w:highlight w:val="none"/>
        </w:rPr>
        <w:t>项目政府采购的磋商邀请，</w:t>
      </w:r>
      <w:r>
        <w:rPr>
          <w:rFonts w:ascii="Times New Roman" w:hAnsi="Times New Roman"/>
          <w:color w:val="auto"/>
          <w:sz w:val="24"/>
          <w:szCs w:val="24"/>
          <w:highlight w:val="none"/>
          <w:u w:val="single"/>
        </w:rPr>
        <w:t>签字代表</w:t>
      </w:r>
      <w:r>
        <w:rPr>
          <w:rFonts w:ascii="Times New Roman" w:hAnsi="Times New Roman"/>
          <w:color w:val="auto"/>
          <w:sz w:val="24"/>
          <w:szCs w:val="24"/>
          <w:highlight w:val="none"/>
        </w:rPr>
        <w:t>（姓名和职务）经正式授权并代表供应商</w:t>
      </w:r>
      <w:r>
        <w:rPr>
          <w:rFonts w:ascii="Times New Roman" w:hAnsi="Times New Roman"/>
          <w:color w:val="auto"/>
          <w:sz w:val="24"/>
          <w:szCs w:val="24"/>
          <w:highlight w:val="none"/>
          <w:u w:val="single"/>
        </w:rPr>
        <w:t>（供应商名称、地址）提交下述响应文件正本一份、副本二份</w:t>
      </w:r>
      <w:r>
        <w:rPr>
          <w:rFonts w:ascii="Times New Roman" w:hAnsi="Times New Roman"/>
          <w:color w:val="auto"/>
          <w:sz w:val="24"/>
          <w:szCs w:val="24"/>
          <w:highlight w:val="none"/>
        </w:rPr>
        <w:t>。</w:t>
      </w:r>
    </w:p>
    <w:p w14:paraId="5246A2B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1）磋商书(附件1) ；</w:t>
      </w:r>
    </w:p>
    <w:p w14:paraId="28C719E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2）报价组成情况表(附件2) ；</w:t>
      </w:r>
    </w:p>
    <w:p w14:paraId="1E4744A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3）货物（服务）清单(附件3)；</w:t>
      </w:r>
    </w:p>
    <w:p w14:paraId="0C00DCC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4）资格性符合性检查对照表(附件4)；</w:t>
      </w:r>
    </w:p>
    <w:p w14:paraId="3D03EF3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5）技术</w:t>
      </w:r>
      <w:r>
        <w:rPr>
          <w:rFonts w:hint="eastAsia" w:ascii="Times New Roman" w:hAnsi="Times New Roman"/>
          <w:color w:val="auto"/>
          <w:sz w:val="24"/>
          <w:szCs w:val="24"/>
          <w:highlight w:val="none"/>
        </w:rPr>
        <w:t>、服务</w:t>
      </w:r>
      <w:r>
        <w:rPr>
          <w:rFonts w:ascii="Times New Roman" w:hAnsi="Times New Roman"/>
          <w:color w:val="auto"/>
          <w:sz w:val="24"/>
          <w:szCs w:val="24"/>
          <w:highlight w:val="none"/>
        </w:rPr>
        <w:t>响应、偏离情况说明表(附件5)；</w:t>
      </w:r>
    </w:p>
    <w:p w14:paraId="6C4DFA7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商务</w:t>
      </w:r>
      <w:r>
        <w:rPr>
          <w:rFonts w:ascii="Times New Roman" w:hAnsi="Times New Roman"/>
          <w:color w:val="auto"/>
          <w:sz w:val="24"/>
          <w:szCs w:val="24"/>
          <w:highlight w:val="none"/>
        </w:rPr>
        <w:t>响应、偏离情况说明表（附件6）；</w:t>
      </w:r>
    </w:p>
    <w:p w14:paraId="5C2D8C4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7）法人（负责人）代表授权书（附件7）；</w:t>
      </w:r>
    </w:p>
    <w:p w14:paraId="0ED30BA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8）法人或者其他组织的营业执照等证明文件，自然人的身份证明(附件8)；</w:t>
      </w:r>
    </w:p>
    <w:p w14:paraId="4B75B02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9）财务状况报告，依法缴纳税收和社会保障资金的相关材料(附件9)；</w:t>
      </w:r>
    </w:p>
    <w:p w14:paraId="235143C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10）具备履行合同所必需的设备和专业技术能力的证明材料(附件10)；</w:t>
      </w:r>
    </w:p>
    <w:p w14:paraId="6AF4FF69">
      <w:pPr>
        <w:spacing w:line="370" w:lineRule="exact"/>
        <w:ind w:firstLine="480" w:firstLineChars="200"/>
        <w:rPr>
          <w:rFonts w:ascii="Times New Roman" w:hAnsi="Times New Roman"/>
          <w:color w:val="auto"/>
          <w:spacing w:val="-6"/>
          <w:sz w:val="24"/>
          <w:szCs w:val="24"/>
          <w:highlight w:val="none"/>
        </w:rPr>
      </w:pPr>
      <w:r>
        <w:rPr>
          <w:rFonts w:ascii="Times New Roman" w:hAnsi="Times New Roman"/>
          <w:color w:val="auto"/>
          <w:sz w:val="24"/>
          <w:szCs w:val="24"/>
          <w:highlight w:val="none"/>
        </w:rPr>
        <w:t>11）参</w:t>
      </w:r>
      <w:r>
        <w:rPr>
          <w:rFonts w:ascii="Times New Roman" w:hAnsi="Times New Roman"/>
          <w:color w:val="auto"/>
          <w:spacing w:val="-6"/>
          <w:sz w:val="24"/>
          <w:szCs w:val="24"/>
          <w:highlight w:val="none"/>
        </w:rPr>
        <w:t>加政府采购活动前3年内在经营活动中没有重大违法记录的书面声明(附件11)；</w:t>
      </w:r>
    </w:p>
    <w:p w14:paraId="40162CD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12）未被列入“信用中国”网站(www.creditchina. gov.cn)失信被执行人、重大税收违法案件当事人名单、政府采购严重违法失信行为记录名单的网页打印件(附件12)。</w:t>
      </w:r>
    </w:p>
    <w:p w14:paraId="476C6B76">
      <w:pPr>
        <w:pStyle w:val="18"/>
        <w:spacing w:line="37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《中小企业声明函》</w:t>
      </w:r>
      <w:r>
        <w:rPr>
          <w:rFonts w:ascii="Times New Roman" w:hAnsi="Times New Roman" w:cs="Times New Roman"/>
          <w:bCs/>
          <w:color w:val="auto"/>
          <w:sz w:val="24"/>
          <w:highlight w:val="none"/>
        </w:rPr>
        <w:t>、《残疾人福利性单位声明函》或属于监狱企业的证明文件（如果有的话）</w:t>
      </w:r>
      <w:r>
        <w:rPr>
          <w:rFonts w:ascii="Times New Roman" w:hAnsi="Times New Roman" w:cs="Times New Roman"/>
          <w:color w:val="auto"/>
          <w:sz w:val="24"/>
          <w:highlight w:val="none"/>
        </w:rPr>
        <w:t>(附件13)。</w:t>
      </w:r>
    </w:p>
    <w:p w14:paraId="2DC983EE">
      <w:pPr>
        <w:spacing w:line="370" w:lineRule="exact"/>
        <w:ind w:firstLine="480" w:firstLineChars="200"/>
        <w:rPr>
          <w:rFonts w:ascii="Times New Roman" w:hAnsi="Times New Roman"/>
          <w:bCs/>
          <w:color w:val="auto"/>
          <w:sz w:val="24"/>
          <w:szCs w:val="24"/>
          <w:highlight w:val="none"/>
        </w:rPr>
      </w:pPr>
      <w:r>
        <w:rPr>
          <w:rFonts w:ascii="Times New Roman" w:hAnsi="Times New Roman"/>
          <w:color w:val="auto"/>
          <w:sz w:val="24"/>
          <w:szCs w:val="24"/>
          <w:highlight w:val="none"/>
        </w:rPr>
        <w:t>本文件要求提供的其他资格证明文件及资料。</w:t>
      </w:r>
    </w:p>
    <w:p w14:paraId="5EB4EB2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在此，我方宣布同意如下：</w:t>
      </w:r>
    </w:p>
    <w:p w14:paraId="7A7435A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将按磋商文件的规定履行合同责任和义务；</w:t>
      </w:r>
    </w:p>
    <w:p w14:paraId="0155F941">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已详细审查全部磋商文件，包括第（编号、补遗书）（如果有的话）；我们完全理解并同意放弃对这方面有不明及误解的权力；</w:t>
      </w:r>
    </w:p>
    <w:p w14:paraId="3A673342">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宋体" w:hAnsi="宋体"/>
          <w:color w:val="auto"/>
          <w:sz w:val="24"/>
          <w:szCs w:val="24"/>
          <w:highlight w:val="none"/>
        </w:rPr>
        <w:t>.</w:t>
      </w:r>
      <w:r>
        <w:rPr>
          <w:rFonts w:ascii="Times New Roman" w:hAnsi="Times New Roman"/>
          <w:color w:val="auto"/>
          <w:sz w:val="24"/>
          <w:szCs w:val="24"/>
          <w:highlight w:val="none"/>
        </w:rPr>
        <w:t>本响应文件有效期为自磋商之日起个日历日；</w:t>
      </w:r>
    </w:p>
    <w:p w14:paraId="2F8FB5C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宋体" w:hAnsi="宋体"/>
          <w:color w:val="auto"/>
          <w:sz w:val="24"/>
          <w:szCs w:val="24"/>
          <w:highlight w:val="none"/>
        </w:rPr>
        <w:t>.</w:t>
      </w:r>
      <w:r>
        <w:rPr>
          <w:rFonts w:ascii="Times New Roman" w:hAnsi="Times New Roman"/>
          <w:color w:val="auto"/>
          <w:sz w:val="24"/>
          <w:szCs w:val="24"/>
          <w:highlight w:val="none"/>
        </w:rPr>
        <w:t>同意提供按照贵方可能要求的与其磋商有关的一切数据或资料；</w:t>
      </w:r>
    </w:p>
    <w:p w14:paraId="3BCFFA0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宋体" w:hAnsi="宋体"/>
          <w:color w:val="auto"/>
          <w:sz w:val="24"/>
          <w:szCs w:val="24"/>
          <w:highlight w:val="none"/>
        </w:rPr>
        <w:t>.</w:t>
      </w:r>
      <w:r>
        <w:rPr>
          <w:rFonts w:ascii="Times New Roman" w:hAnsi="Times New Roman"/>
          <w:color w:val="auto"/>
          <w:sz w:val="24"/>
          <w:szCs w:val="24"/>
          <w:highlight w:val="none"/>
        </w:rPr>
        <w:t>与本磋商有关的一切正式往来信函请寄：</w:t>
      </w:r>
    </w:p>
    <w:p w14:paraId="4829794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地址：</w:t>
      </w:r>
    </w:p>
    <w:p w14:paraId="0E5994A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电话/传真：</w:t>
      </w:r>
    </w:p>
    <w:p w14:paraId="4C280D7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电子信箱：</w:t>
      </w:r>
    </w:p>
    <w:p w14:paraId="230EE5E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供应商（授权）代表签字：</w:t>
      </w:r>
    </w:p>
    <w:p w14:paraId="0F26779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供应商名称（公章）：</w:t>
      </w:r>
    </w:p>
    <w:p w14:paraId="2ECD983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199612CA">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二</w:t>
      </w:r>
    </w:p>
    <w:p w14:paraId="3E0D6DDD">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报价组成情况表</w:t>
      </w:r>
    </w:p>
    <w:p w14:paraId="0D08F197">
      <w:pPr>
        <w:spacing w:line="520" w:lineRule="exact"/>
        <w:jc w:val="center"/>
        <w:rPr>
          <w:rFonts w:ascii="Times New Roman" w:hAnsi="Times New Roman" w:eastAsia="方正小标宋简体"/>
          <w:color w:val="auto"/>
          <w:sz w:val="40"/>
          <w:szCs w:val="40"/>
          <w:highlight w:val="none"/>
        </w:rPr>
      </w:pPr>
    </w:p>
    <w:p w14:paraId="71B5DA93">
      <w:pPr>
        <w:spacing w:line="440" w:lineRule="exact"/>
        <w:rPr>
          <w:rFonts w:ascii="Times New Roman" w:hAnsi="Times New Roman"/>
          <w:color w:val="auto"/>
          <w:sz w:val="24"/>
          <w:highlight w:val="none"/>
          <w:u w:val="single"/>
        </w:rPr>
      </w:pPr>
      <w:r>
        <w:rPr>
          <w:rFonts w:ascii="Times New Roman" w:hAnsi="Times New Roman"/>
          <w:color w:val="auto"/>
          <w:sz w:val="24"/>
          <w:highlight w:val="none"/>
        </w:rPr>
        <w:t>项目编号（包号）：</w:t>
      </w:r>
    </w:p>
    <w:p w14:paraId="485A5E5A">
      <w:pPr>
        <w:spacing w:afterLines="50" w:line="440" w:lineRule="exact"/>
        <w:rPr>
          <w:rFonts w:ascii="Times New Roman" w:hAnsi="Times New Roman" w:eastAsia="仿宋_GB2312"/>
          <w:color w:val="auto"/>
          <w:sz w:val="24"/>
          <w:highlight w:val="none"/>
          <w:u w:val="single"/>
        </w:rPr>
      </w:pPr>
      <w:r>
        <w:rPr>
          <w:rFonts w:ascii="Times New Roman" w:hAnsi="Times New Roman"/>
          <w:color w:val="auto"/>
          <w:sz w:val="24"/>
          <w:highlight w:val="none"/>
        </w:rPr>
        <w:t>项目名称：</w:t>
      </w:r>
    </w:p>
    <w:tbl>
      <w:tblPr>
        <w:tblStyle w:val="30"/>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10FFD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7CBB96F">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036" w:type="dxa"/>
            <w:vAlign w:val="center"/>
          </w:tcPr>
          <w:p w14:paraId="07AB41EF">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名称（服务）</w:t>
            </w:r>
          </w:p>
        </w:tc>
        <w:tc>
          <w:tcPr>
            <w:tcW w:w="1347" w:type="dxa"/>
            <w:vAlign w:val="center"/>
          </w:tcPr>
          <w:p w14:paraId="5095D00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877" w:type="dxa"/>
            <w:vAlign w:val="center"/>
          </w:tcPr>
          <w:p w14:paraId="4E7C65DF">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c>
          <w:tcPr>
            <w:tcW w:w="1801" w:type="dxa"/>
            <w:vAlign w:val="center"/>
          </w:tcPr>
          <w:p w14:paraId="637373BD">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994" w:type="dxa"/>
            <w:vAlign w:val="center"/>
          </w:tcPr>
          <w:p w14:paraId="7130AFA5">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单价</w:t>
            </w:r>
          </w:p>
        </w:tc>
        <w:tc>
          <w:tcPr>
            <w:tcW w:w="1237" w:type="dxa"/>
            <w:vAlign w:val="center"/>
          </w:tcPr>
          <w:p w14:paraId="0DE35B95">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备注</w:t>
            </w:r>
          </w:p>
        </w:tc>
      </w:tr>
      <w:tr w14:paraId="2D05E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3F1094D3">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036" w:type="dxa"/>
            <w:vAlign w:val="center"/>
          </w:tcPr>
          <w:p w14:paraId="33402E84">
            <w:pPr>
              <w:adjustRightInd w:val="0"/>
              <w:snapToGrid w:val="0"/>
              <w:ind w:left="-88" w:leftChars="-42"/>
              <w:jc w:val="center"/>
              <w:rPr>
                <w:rFonts w:ascii="Times New Roman" w:hAnsi="Times New Roman"/>
                <w:color w:val="auto"/>
                <w:sz w:val="24"/>
                <w:highlight w:val="none"/>
              </w:rPr>
            </w:pPr>
          </w:p>
        </w:tc>
        <w:tc>
          <w:tcPr>
            <w:tcW w:w="1347" w:type="dxa"/>
            <w:vAlign w:val="center"/>
          </w:tcPr>
          <w:p w14:paraId="1CE4E290">
            <w:pPr>
              <w:adjustRightInd w:val="0"/>
              <w:snapToGrid w:val="0"/>
              <w:jc w:val="center"/>
              <w:rPr>
                <w:rFonts w:ascii="Times New Roman" w:hAnsi="Times New Roman"/>
                <w:color w:val="auto"/>
                <w:sz w:val="24"/>
                <w:highlight w:val="none"/>
              </w:rPr>
            </w:pPr>
          </w:p>
        </w:tc>
        <w:tc>
          <w:tcPr>
            <w:tcW w:w="877" w:type="dxa"/>
            <w:vAlign w:val="center"/>
          </w:tcPr>
          <w:p w14:paraId="5509C9C4">
            <w:pPr>
              <w:adjustRightInd w:val="0"/>
              <w:snapToGrid w:val="0"/>
              <w:jc w:val="center"/>
              <w:rPr>
                <w:rFonts w:ascii="Times New Roman" w:hAnsi="Times New Roman"/>
                <w:color w:val="auto"/>
                <w:sz w:val="24"/>
                <w:highlight w:val="none"/>
              </w:rPr>
            </w:pPr>
          </w:p>
        </w:tc>
        <w:tc>
          <w:tcPr>
            <w:tcW w:w="1801" w:type="dxa"/>
            <w:vAlign w:val="center"/>
          </w:tcPr>
          <w:p w14:paraId="00AECBFE">
            <w:pPr>
              <w:adjustRightInd w:val="0"/>
              <w:snapToGrid w:val="0"/>
              <w:jc w:val="center"/>
              <w:rPr>
                <w:rFonts w:ascii="Times New Roman" w:hAnsi="Times New Roman"/>
                <w:color w:val="auto"/>
                <w:sz w:val="24"/>
                <w:highlight w:val="none"/>
              </w:rPr>
            </w:pPr>
          </w:p>
        </w:tc>
        <w:tc>
          <w:tcPr>
            <w:tcW w:w="994" w:type="dxa"/>
            <w:vAlign w:val="center"/>
          </w:tcPr>
          <w:p w14:paraId="6C0B1B80">
            <w:pPr>
              <w:adjustRightInd w:val="0"/>
              <w:snapToGrid w:val="0"/>
              <w:jc w:val="center"/>
              <w:rPr>
                <w:rFonts w:ascii="Times New Roman" w:hAnsi="Times New Roman"/>
                <w:color w:val="auto"/>
                <w:sz w:val="24"/>
                <w:highlight w:val="none"/>
              </w:rPr>
            </w:pPr>
          </w:p>
        </w:tc>
        <w:tc>
          <w:tcPr>
            <w:tcW w:w="1237" w:type="dxa"/>
            <w:vAlign w:val="center"/>
          </w:tcPr>
          <w:p w14:paraId="7B2D1BE1">
            <w:pPr>
              <w:adjustRightInd w:val="0"/>
              <w:snapToGrid w:val="0"/>
              <w:jc w:val="center"/>
              <w:rPr>
                <w:rFonts w:ascii="Times New Roman" w:hAnsi="Times New Roman"/>
                <w:color w:val="auto"/>
                <w:sz w:val="24"/>
                <w:highlight w:val="none"/>
              </w:rPr>
            </w:pPr>
          </w:p>
        </w:tc>
      </w:tr>
      <w:tr w14:paraId="09459E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32900E6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036" w:type="dxa"/>
            <w:vAlign w:val="center"/>
          </w:tcPr>
          <w:p w14:paraId="74B5F9FB">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7AC788C4">
            <w:pPr>
              <w:adjustRightInd w:val="0"/>
              <w:snapToGrid w:val="0"/>
              <w:jc w:val="center"/>
              <w:rPr>
                <w:rFonts w:ascii="Times New Roman" w:hAnsi="Times New Roman"/>
                <w:color w:val="auto"/>
                <w:sz w:val="24"/>
                <w:highlight w:val="none"/>
              </w:rPr>
            </w:pPr>
          </w:p>
        </w:tc>
        <w:tc>
          <w:tcPr>
            <w:tcW w:w="877" w:type="dxa"/>
            <w:vAlign w:val="center"/>
          </w:tcPr>
          <w:p w14:paraId="1DF4F94C">
            <w:pPr>
              <w:adjustRightInd w:val="0"/>
              <w:snapToGrid w:val="0"/>
              <w:jc w:val="center"/>
              <w:rPr>
                <w:rFonts w:ascii="Times New Roman" w:hAnsi="Times New Roman"/>
                <w:color w:val="auto"/>
                <w:sz w:val="24"/>
                <w:highlight w:val="none"/>
              </w:rPr>
            </w:pPr>
          </w:p>
        </w:tc>
        <w:tc>
          <w:tcPr>
            <w:tcW w:w="1801" w:type="dxa"/>
            <w:vAlign w:val="center"/>
          </w:tcPr>
          <w:p w14:paraId="2B3591B2">
            <w:pPr>
              <w:adjustRightInd w:val="0"/>
              <w:snapToGrid w:val="0"/>
              <w:jc w:val="center"/>
              <w:rPr>
                <w:rFonts w:ascii="Times New Roman" w:hAnsi="Times New Roman"/>
                <w:color w:val="auto"/>
                <w:sz w:val="24"/>
                <w:highlight w:val="none"/>
              </w:rPr>
            </w:pPr>
          </w:p>
        </w:tc>
        <w:tc>
          <w:tcPr>
            <w:tcW w:w="994" w:type="dxa"/>
            <w:vAlign w:val="center"/>
          </w:tcPr>
          <w:p w14:paraId="7BFB1FCA">
            <w:pPr>
              <w:adjustRightInd w:val="0"/>
              <w:snapToGrid w:val="0"/>
              <w:jc w:val="center"/>
              <w:rPr>
                <w:rFonts w:ascii="Times New Roman" w:hAnsi="Times New Roman"/>
                <w:color w:val="auto"/>
                <w:sz w:val="24"/>
                <w:highlight w:val="none"/>
              </w:rPr>
            </w:pPr>
          </w:p>
        </w:tc>
        <w:tc>
          <w:tcPr>
            <w:tcW w:w="1237" w:type="dxa"/>
            <w:vAlign w:val="center"/>
          </w:tcPr>
          <w:p w14:paraId="63C1CDE4">
            <w:pPr>
              <w:adjustRightInd w:val="0"/>
              <w:snapToGrid w:val="0"/>
              <w:jc w:val="center"/>
              <w:rPr>
                <w:rFonts w:ascii="Times New Roman" w:hAnsi="Times New Roman"/>
                <w:color w:val="auto"/>
                <w:sz w:val="24"/>
                <w:highlight w:val="none"/>
              </w:rPr>
            </w:pPr>
          </w:p>
        </w:tc>
      </w:tr>
      <w:tr w14:paraId="1930A5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2936A84">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036" w:type="dxa"/>
            <w:vAlign w:val="center"/>
          </w:tcPr>
          <w:p w14:paraId="600ECE66">
            <w:pPr>
              <w:adjustRightInd w:val="0"/>
              <w:snapToGrid w:val="0"/>
              <w:ind w:left="-88" w:leftChars="-42"/>
              <w:jc w:val="center"/>
              <w:rPr>
                <w:rFonts w:ascii="Times New Roman" w:hAnsi="Times New Roman"/>
                <w:color w:val="auto"/>
                <w:sz w:val="24"/>
                <w:highlight w:val="none"/>
              </w:rPr>
            </w:pPr>
          </w:p>
        </w:tc>
        <w:tc>
          <w:tcPr>
            <w:tcW w:w="1347" w:type="dxa"/>
            <w:vAlign w:val="center"/>
          </w:tcPr>
          <w:p w14:paraId="5B54E7C1">
            <w:pPr>
              <w:adjustRightInd w:val="0"/>
              <w:snapToGrid w:val="0"/>
              <w:jc w:val="center"/>
              <w:rPr>
                <w:rFonts w:ascii="Times New Roman" w:hAnsi="Times New Roman"/>
                <w:color w:val="auto"/>
                <w:sz w:val="24"/>
                <w:highlight w:val="none"/>
              </w:rPr>
            </w:pPr>
          </w:p>
        </w:tc>
        <w:tc>
          <w:tcPr>
            <w:tcW w:w="877" w:type="dxa"/>
            <w:vAlign w:val="center"/>
          </w:tcPr>
          <w:p w14:paraId="64A4DD81">
            <w:pPr>
              <w:adjustRightInd w:val="0"/>
              <w:snapToGrid w:val="0"/>
              <w:jc w:val="center"/>
              <w:rPr>
                <w:rFonts w:ascii="Times New Roman" w:hAnsi="Times New Roman"/>
                <w:color w:val="auto"/>
                <w:sz w:val="24"/>
                <w:highlight w:val="none"/>
              </w:rPr>
            </w:pPr>
          </w:p>
        </w:tc>
        <w:tc>
          <w:tcPr>
            <w:tcW w:w="1801" w:type="dxa"/>
            <w:vAlign w:val="center"/>
          </w:tcPr>
          <w:p w14:paraId="1E99EAD1">
            <w:pPr>
              <w:adjustRightInd w:val="0"/>
              <w:snapToGrid w:val="0"/>
              <w:jc w:val="center"/>
              <w:rPr>
                <w:rFonts w:ascii="Times New Roman" w:hAnsi="Times New Roman"/>
                <w:color w:val="auto"/>
                <w:sz w:val="24"/>
                <w:highlight w:val="none"/>
              </w:rPr>
            </w:pPr>
          </w:p>
        </w:tc>
        <w:tc>
          <w:tcPr>
            <w:tcW w:w="994" w:type="dxa"/>
            <w:vAlign w:val="center"/>
          </w:tcPr>
          <w:p w14:paraId="040E7057">
            <w:pPr>
              <w:adjustRightInd w:val="0"/>
              <w:snapToGrid w:val="0"/>
              <w:jc w:val="center"/>
              <w:rPr>
                <w:rFonts w:ascii="Times New Roman" w:hAnsi="Times New Roman"/>
                <w:color w:val="auto"/>
                <w:sz w:val="24"/>
                <w:highlight w:val="none"/>
              </w:rPr>
            </w:pPr>
          </w:p>
        </w:tc>
        <w:tc>
          <w:tcPr>
            <w:tcW w:w="1237" w:type="dxa"/>
            <w:vAlign w:val="center"/>
          </w:tcPr>
          <w:p w14:paraId="29492CF3">
            <w:pPr>
              <w:adjustRightInd w:val="0"/>
              <w:snapToGrid w:val="0"/>
              <w:jc w:val="center"/>
              <w:rPr>
                <w:rFonts w:ascii="Times New Roman" w:hAnsi="Times New Roman"/>
                <w:color w:val="auto"/>
                <w:sz w:val="24"/>
                <w:highlight w:val="none"/>
              </w:rPr>
            </w:pPr>
          </w:p>
        </w:tc>
      </w:tr>
      <w:tr w14:paraId="2F0FE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CDD8BD4">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036" w:type="dxa"/>
            <w:vAlign w:val="center"/>
          </w:tcPr>
          <w:p w14:paraId="56538740">
            <w:pPr>
              <w:adjustRightInd w:val="0"/>
              <w:snapToGrid w:val="0"/>
              <w:ind w:left="-88" w:leftChars="-42"/>
              <w:jc w:val="center"/>
              <w:rPr>
                <w:rFonts w:ascii="Times New Roman" w:hAnsi="Times New Roman"/>
                <w:color w:val="auto"/>
                <w:sz w:val="24"/>
                <w:highlight w:val="none"/>
              </w:rPr>
            </w:pPr>
          </w:p>
        </w:tc>
        <w:tc>
          <w:tcPr>
            <w:tcW w:w="1347" w:type="dxa"/>
            <w:vAlign w:val="center"/>
          </w:tcPr>
          <w:p w14:paraId="7B2340B2">
            <w:pPr>
              <w:adjustRightInd w:val="0"/>
              <w:snapToGrid w:val="0"/>
              <w:jc w:val="center"/>
              <w:rPr>
                <w:rFonts w:ascii="Times New Roman" w:hAnsi="Times New Roman"/>
                <w:color w:val="auto"/>
                <w:sz w:val="24"/>
                <w:highlight w:val="none"/>
              </w:rPr>
            </w:pPr>
          </w:p>
        </w:tc>
        <w:tc>
          <w:tcPr>
            <w:tcW w:w="877" w:type="dxa"/>
            <w:vAlign w:val="center"/>
          </w:tcPr>
          <w:p w14:paraId="3DE60C1D">
            <w:pPr>
              <w:adjustRightInd w:val="0"/>
              <w:snapToGrid w:val="0"/>
              <w:jc w:val="center"/>
              <w:rPr>
                <w:rFonts w:ascii="Times New Roman" w:hAnsi="Times New Roman"/>
                <w:color w:val="auto"/>
                <w:sz w:val="24"/>
                <w:highlight w:val="none"/>
              </w:rPr>
            </w:pPr>
          </w:p>
        </w:tc>
        <w:tc>
          <w:tcPr>
            <w:tcW w:w="1801" w:type="dxa"/>
            <w:vAlign w:val="center"/>
          </w:tcPr>
          <w:p w14:paraId="6228C4E5">
            <w:pPr>
              <w:adjustRightInd w:val="0"/>
              <w:snapToGrid w:val="0"/>
              <w:jc w:val="center"/>
              <w:rPr>
                <w:rFonts w:ascii="Times New Roman" w:hAnsi="Times New Roman"/>
                <w:color w:val="auto"/>
                <w:sz w:val="24"/>
                <w:highlight w:val="none"/>
              </w:rPr>
            </w:pPr>
          </w:p>
        </w:tc>
        <w:tc>
          <w:tcPr>
            <w:tcW w:w="994" w:type="dxa"/>
            <w:vAlign w:val="center"/>
          </w:tcPr>
          <w:p w14:paraId="7BF0A16D">
            <w:pPr>
              <w:adjustRightInd w:val="0"/>
              <w:snapToGrid w:val="0"/>
              <w:jc w:val="center"/>
              <w:rPr>
                <w:rFonts w:ascii="Times New Roman" w:hAnsi="Times New Roman"/>
                <w:color w:val="auto"/>
                <w:sz w:val="24"/>
                <w:highlight w:val="none"/>
              </w:rPr>
            </w:pPr>
          </w:p>
        </w:tc>
        <w:tc>
          <w:tcPr>
            <w:tcW w:w="1237" w:type="dxa"/>
            <w:vAlign w:val="center"/>
          </w:tcPr>
          <w:p w14:paraId="6432F717">
            <w:pPr>
              <w:adjustRightInd w:val="0"/>
              <w:snapToGrid w:val="0"/>
              <w:jc w:val="center"/>
              <w:rPr>
                <w:rFonts w:ascii="Times New Roman" w:hAnsi="Times New Roman"/>
                <w:color w:val="auto"/>
                <w:sz w:val="24"/>
                <w:highlight w:val="none"/>
              </w:rPr>
            </w:pPr>
          </w:p>
        </w:tc>
      </w:tr>
      <w:tr w14:paraId="16C596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CA52AE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036" w:type="dxa"/>
            <w:vAlign w:val="center"/>
          </w:tcPr>
          <w:p w14:paraId="7DEE718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0338A96B">
            <w:pPr>
              <w:adjustRightInd w:val="0"/>
              <w:snapToGrid w:val="0"/>
              <w:jc w:val="center"/>
              <w:rPr>
                <w:rFonts w:ascii="Times New Roman" w:hAnsi="Times New Roman"/>
                <w:color w:val="auto"/>
                <w:sz w:val="24"/>
                <w:highlight w:val="none"/>
              </w:rPr>
            </w:pPr>
          </w:p>
        </w:tc>
        <w:tc>
          <w:tcPr>
            <w:tcW w:w="877" w:type="dxa"/>
            <w:vAlign w:val="center"/>
          </w:tcPr>
          <w:p w14:paraId="7BA07F8A">
            <w:pPr>
              <w:adjustRightInd w:val="0"/>
              <w:snapToGrid w:val="0"/>
              <w:jc w:val="center"/>
              <w:rPr>
                <w:rFonts w:ascii="Times New Roman" w:hAnsi="Times New Roman"/>
                <w:color w:val="auto"/>
                <w:sz w:val="24"/>
                <w:highlight w:val="none"/>
              </w:rPr>
            </w:pPr>
          </w:p>
        </w:tc>
        <w:tc>
          <w:tcPr>
            <w:tcW w:w="1801" w:type="dxa"/>
            <w:vAlign w:val="center"/>
          </w:tcPr>
          <w:p w14:paraId="0E029E91">
            <w:pPr>
              <w:adjustRightInd w:val="0"/>
              <w:snapToGrid w:val="0"/>
              <w:jc w:val="center"/>
              <w:rPr>
                <w:rFonts w:ascii="Times New Roman" w:hAnsi="Times New Roman"/>
                <w:color w:val="auto"/>
                <w:sz w:val="24"/>
                <w:highlight w:val="none"/>
              </w:rPr>
            </w:pPr>
          </w:p>
        </w:tc>
        <w:tc>
          <w:tcPr>
            <w:tcW w:w="994" w:type="dxa"/>
            <w:vAlign w:val="center"/>
          </w:tcPr>
          <w:p w14:paraId="12672234">
            <w:pPr>
              <w:adjustRightInd w:val="0"/>
              <w:snapToGrid w:val="0"/>
              <w:jc w:val="center"/>
              <w:rPr>
                <w:rFonts w:ascii="Times New Roman" w:hAnsi="Times New Roman"/>
                <w:color w:val="auto"/>
                <w:sz w:val="24"/>
                <w:highlight w:val="none"/>
              </w:rPr>
            </w:pPr>
          </w:p>
        </w:tc>
        <w:tc>
          <w:tcPr>
            <w:tcW w:w="1237" w:type="dxa"/>
            <w:vAlign w:val="center"/>
          </w:tcPr>
          <w:p w14:paraId="64CC887F">
            <w:pPr>
              <w:adjustRightInd w:val="0"/>
              <w:snapToGrid w:val="0"/>
              <w:jc w:val="center"/>
              <w:rPr>
                <w:rFonts w:ascii="Times New Roman" w:hAnsi="Times New Roman"/>
                <w:color w:val="auto"/>
                <w:sz w:val="24"/>
                <w:highlight w:val="none"/>
              </w:rPr>
            </w:pPr>
          </w:p>
        </w:tc>
      </w:tr>
      <w:tr w14:paraId="0925D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5D35B83">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036" w:type="dxa"/>
            <w:vAlign w:val="center"/>
          </w:tcPr>
          <w:p w14:paraId="56458EF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其它</w:t>
            </w:r>
          </w:p>
        </w:tc>
        <w:tc>
          <w:tcPr>
            <w:tcW w:w="1347" w:type="dxa"/>
            <w:vAlign w:val="center"/>
          </w:tcPr>
          <w:p w14:paraId="1190B7B6">
            <w:pPr>
              <w:adjustRightInd w:val="0"/>
              <w:snapToGrid w:val="0"/>
              <w:jc w:val="center"/>
              <w:rPr>
                <w:rFonts w:ascii="Times New Roman" w:hAnsi="Times New Roman"/>
                <w:color w:val="auto"/>
                <w:sz w:val="24"/>
                <w:highlight w:val="none"/>
              </w:rPr>
            </w:pPr>
          </w:p>
        </w:tc>
        <w:tc>
          <w:tcPr>
            <w:tcW w:w="877" w:type="dxa"/>
            <w:vAlign w:val="center"/>
          </w:tcPr>
          <w:p w14:paraId="08184F1B">
            <w:pPr>
              <w:adjustRightInd w:val="0"/>
              <w:snapToGrid w:val="0"/>
              <w:jc w:val="center"/>
              <w:rPr>
                <w:rFonts w:ascii="Times New Roman" w:hAnsi="Times New Roman"/>
                <w:color w:val="auto"/>
                <w:sz w:val="24"/>
                <w:highlight w:val="none"/>
              </w:rPr>
            </w:pPr>
          </w:p>
        </w:tc>
        <w:tc>
          <w:tcPr>
            <w:tcW w:w="1801" w:type="dxa"/>
            <w:vAlign w:val="center"/>
          </w:tcPr>
          <w:p w14:paraId="25E4A651">
            <w:pPr>
              <w:adjustRightInd w:val="0"/>
              <w:snapToGrid w:val="0"/>
              <w:jc w:val="center"/>
              <w:rPr>
                <w:rFonts w:ascii="Times New Roman" w:hAnsi="Times New Roman"/>
                <w:color w:val="auto"/>
                <w:sz w:val="24"/>
                <w:highlight w:val="none"/>
              </w:rPr>
            </w:pPr>
          </w:p>
        </w:tc>
        <w:tc>
          <w:tcPr>
            <w:tcW w:w="994" w:type="dxa"/>
            <w:vAlign w:val="center"/>
          </w:tcPr>
          <w:p w14:paraId="079BDDE5">
            <w:pPr>
              <w:adjustRightInd w:val="0"/>
              <w:snapToGrid w:val="0"/>
              <w:jc w:val="center"/>
              <w:rPr>
                <w:rFonts w:ascii="Times New Roman" w:hAnsi="Times New Roman"/>
                <w:color w:val="auto"/>
                <w:sz w:val="24"/>
                <w:highlight w:val="none"/>
              </w:rPr>
            </w:pPr>
          </w:p>
        </w:tc>
        <w:tc>
          <w:tcPr>
            <w:tcW w:w="1237" w:type="dxa"/>
            <w:vAlign w:val="center"/>
          </w:tcPr>
          <w:p w14:paraId="508D78DA">
            <w:pPr>
              <w:adjustRightInd w:val="0"/>
              <w:snapToGrid w:val="0"/>
              <w:jc w:val="center"/>
              <w:rPr>
                <w:rFonts w:ascii="Times New Roman" w:hAnsi="Times New Roman"/>
                <w:color w:val="auto"/>
                <w:sz w:val="24"/>
                <w:highlight w:val="none"/>
              </w:rPr>
            </w:pPr>
          </w:p>
        </w:tc>
      </w:tr>
      <w:tr w14:paraId="18195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5CB9A913">
            <w:pPr>
              <w:adjustRightInd w:val="0"/>
              <w:snapToGrid w:val="0"/>
              <w:jc w:val="center"/>
              <w:rPr>
                <w:rFonts w:ascii="Times New Roman" w:hAnsi="Times New Roman"/>
                <w:color w:val="auto"/>
                <w:sz w:val="24"/>
                <w:highlight w:val="none"/>
              </w:rPr>
            </w:pPr>
            <w:r>
              <w:rPr>
                <w:rFonts w:ascii="Times New Roman" w:hAnsi="Times New Roman"/>
                <w:color w:val="auto"/>
                <w:sz w:val="24"/>
                <w:highlight w:val="none"/>
              </w:rPr>
              <w:t>总</w:t>
            </w:r>
            <w:r>
              <w:rPr>
                <w:rFonts w:hint="eastAsia" w:ascii="Times New Roman" w:hAnsi="Times New Roman"/>
                <w:color w:val="auto"/>
                <w:sz w:val="24"/>
                <w:highlight w:val="none"/>
              </w:rPr>
              <w:t xml:space="preserve">  </w:t>
            </w:r>
            <w:r>
              <w:rPr>
                <w:rFonts w:ascii="Times New Roman" w:hAnsi="Times New Roman"/>
                <w:color w:val="auto"/>
                <w:sz w:val="24"/>
                <w:highlight w:val="none"/>
              </w:rPr>
              <w:t>计</w:t>
            </w:r>
          </w:p>
        </w:tc>
        <w:tc>
          <w:tcPr>
            <w:tcW w:w="2231" w:type="dxa"/>
            <w:gridSpan w:val="2"/>
            <w:vAlign w:val="center"/>
          </w:tcPr>
          <w:p w14:paraId="5DDD6B50">
            <w:pPr>
              <w:adjustRightInd w:val="0"/>
              <w:snapToGrid w:val="0"/>
              <w:jc w:val="center"/>
              <w:rPr>
                <w:rFonts w:ascii="Times New Roman" w:hAnsi="Times New Roman"/>
                <w:color w:val="auto"/>
                <w:sz w:val="24"/>
                <w:highlight w:val="none"/>
              </w:rPr>
            </w:pPr>
          </w:p>
        </w:tc>
      </w:tr>
    </w:tbl>
    <w:p w14:paraId="2742AF6E">
      <w:pPr>
        <w:spacing w:line="44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注：本表仅作为磋商小组了解报价组成情况，不作为最终成交价。</w:t>
      </w:r>
    </w:p>
    <w:p w14:paraId="6EC6CB21">
      <w:pPr>
        <w:spacing w:line="500" w:lineRule="exact"/>
        <w:rPr>
          <w:rFonts w:ascii="Times New Roman" w:hAnsi="Times New Roman"/>
          <w:color w:val="auto"/>
          <w:sz w:val="24"/>
          <w:szCs w:val="24"/>
          <w:highlight w:val="none"/>
        </w:rPr>
      </w:pPr>
    </w:p>
    <w:p w14:paraId="2F27DC0B">
      <w:pPr>
        <w:spacing w:line="500" w:lineRule="exact"/>
        <w:rPr>
          <w:rFonts w:ascii="Times New Roman" w:hAnsi="Times New Roman"/>
          <w:color w:val="auto"/>
          <w:sz w:val="24"/>
          <w:szCs w:val="24"/>
          <w:highlight w:val="none"/>
        </w:rPr>
      </w:pPr>
    </w:p>
    <w:p w14:paraId="17564906">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12F0C496">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3DE02F04">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三</w:t>
      </w:r>
    </w:p>
    <w:p w14:paraId="1F76AEB1">
      <w:pPr>
        <w:widowControl/>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货物（服务）清单</w:t>
      </w:r>
    </w:p>
    <w:p w14:paraId="7C46A139">
      <w:pPr>
        <w:spacing w:line="520" w:lineRule="exact"/>
        <w:rPr>
          <w:rFonts w:ascii="Times New Roman" w:hAnsi="Times New Roman"/>
          <w:color w:val="auto"/>
          <w:sz w:val="24"/>
          <w:highlight w:val="none"/>
        </w:rPr>
      </w:pPr>
    </w:p>
    <w:p w14:paraId="143D8FF6">
      <w:pPr>
        <w:spacing w:afterLines="50" w:line="440" w:lineRule="exact"/>
        <w:rPr>
          <w:rFonts w:ascii="Times New Roman" w:hAnsi="Times New Roman"/>
          <w:color w:val="auto"/>
          <w:sz w:val="24"/>
          <w:highlight w:val="none"/>
        </w:rPr>
      </w:pPr>
      <w:r>
        <w:rPr>
          <w:rFonts w:ascii="Times New Roman" w:hAnsi="Times New Roman"/>
          <w:color w:val="auto"/>
          <w:sz w:val="24"/>
          <w:highlight w:val="none"/>
        </w:rPr>
        <w:t>项目编号（包号）：</w:t>
      </w:r>
    </w:p>
    <w:p w14:paraId="2F040850">
      <w:pPr>
        <w:spacing w:afterLines="50" w:line="440" w:lineRule="exact"/>
        <w:rPr>
          <w:rFonts w:ascii="Times New Roman" w:hAnsi="Times New Roman"/>
          <w:b/>
          <w:bCs/>
          <w:color w:val="auto"/>
          <w:sz w:val="32"/>
          <w:szCs w:val="32"/>
          <w:highlight w:val="none"/>
        </w:rPr>
      </w:pPr>
      <w:r>
        <w:rPr>
          <w:rFonts w:ascii="Times New Roman" w:hAnsi="Times New Roman"/>
          <w:color w:val="auto"/>
          <w:sz w:val="24"/>
          <w:highlight w:val="none"/>
        </w:rPr>
        <w:t>项目名称：</w:t>
      </w:r>
    </w:p>
    <w:tbl>
      <w:tblPr>
        <w:tblStyle w:val="30"/>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59275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63854F0">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226" w:type="dxa"/>
            <w:vAlign w:val="center"/>
          </w:tcPr>
          <w:p w14:paraId="411949BA">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货物（服务）名称</w:t>
            </w:r>
          </w:p>
        </w:tc>
        <w:tc>
          <w:tcPr>
            <w:tcW w:w="1587" w:type="dxa"/>
            <w:tcBorders>
              <w:right w:val="single" w:color="auto" w:sz="4" w:space="0"/>
            </w:tcBorders>
            <w:vAlign w:val="center"/>
          </w:tcPr>
          <w:p w14:paraId="49F9AC7C">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1588" w:type="dxa"/>
            <w:tcBorders>
              <w:left w:val="single" w:color="auto" w:sz="4" w:space="0"/>
            </w:tcBorders>
            <w:vAlign w:val="center"/>
          </w:tcPr>
          <w:p w14:paraId="52DF3A1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生产地</w:t>
            </w:r>
          </w:p>
        </w:tc>
        <w:tc>
          <w:tcPr>
            <w:tcW w:w="1731" w:type="dxa"/>
            <w:vAlign w:val="center"/>
          </w:tcPr>
          <w:p w14:paraId="42DBD5B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1154" w:type="dxa"/>
            <w:vAlign w:val="center"/>
          </w:tcPr>
          <w:p w14:paraId="2B62C47A">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r>
      <w:tr w14:paraId="2BA91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798DE52">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226" w:type="dxa"/>
            <w:vAlign w:val="center"/>
          </w:tcPr>
          <w:p w14:paraId="0B696205">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13910D12">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105972F6">
            <w:pPr>
              <w:adjustRightInd w:val="0"/>
              <w:snapToGrid w:val="0"/>
              <w:jc w:val="center"/>
              <w:rPr>
                <w:rFonts w:ascii="Times New Roman" w:hAnsi="Times New Roman"/>
                <w:color w:val="auto"/>
                <w:sz w:val="24"/>
                <w:highlight w:val="none"/>
              </w:rPr>
            </w:pPr>
          </w:p>
        </w:tc>
        <w:tc>
          <w:tcPr>
            <w:tcW w:w="1731" w:type="dxa"/>
            <w:vAlign w:val="center"/>
          </w:tcPr>
          <w:p w14:paraId="687AF9FE">
            <w:pPr>
              <w:adjustRightInd w:val="0"/>
              <w:snapToGrid w:val="0"/>
              <w:jc w:val="center"/>
              <w:rPr>
                <w:rFonts w:ascii="Times New Roman" w:hAnsi="Times New Roman"/>
                <w:color w:val="auto"/>
                <w:sz w:val="24"/>
                <w:highlight w:val="none"/>
              </w:rPr>
            </w:pPr>
          </w:p>
        </w:tc>
        <w:tc>
          <w:tcPr>
            <w:tcW w:w="1154" w:type="dxa"/>
            <w:vAlign w:val="center"/>
          </w:tcPr>
          <w:p w14:paraId="4F584F17">
            <w:pPr>
              <w:adjustRightInd w:val="0"/>
              <w:snapToGrid w:val="0"/>
              <w:jc w:val="center"/>
              <w:rPr>
                <w:rFonts w:ascii="Times New Roman" w:hAnsi="Times New Roman"/>
                <w:color w:val="auto"/>
                <w:sz w:val="24"/>
                <w:highlight w:val="none"/>
              </w:rPr>
            </w:pPr>
          </w:p>
        </w:tc>
      </w:tr>
      <w:tr w14:paraId="4DB13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C1EE62C">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226" w:type="dxa"/>
            <w:vAlign w:val="center"/>
          </w:tcPr>
          <w:p w14:paraId="6241593B">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C295FFE">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F008F54">
            <w:pPr>
              <w:adjustRightInd w:val="0"/>
              <w:snapToGrid w:val="0"/>
              <w:jc w:val="center"/>
              <w:rPr>
                <w:rFonts w:ascii="Times New Roman" w:hAnsi="Times New Roman"/>
                <w:color w:val="auto"/>
                <w:sz w:val="24"/>
                <w:highlight w:val="none"/>
              </w:rPr>
            </w:pPr>
          </w:p>
        </w:tc>
        <w:tc>
          <w:tcPr>
            <w:tcW w:w="1731" w:type="dxa"/>
            <w:vAlign w:val="center"/>
          </w:tcPr>
          <w:p w14:paraId="2D9A1065">
            <w:pPr>
              <w:adjustRightInd w:val="0"/>
              <w:snapToGrid w:val="0"/>
              <w:jc w:val="center"/>
              <w:rPr>
                <w:rFonts w:ascii="Times New Roman" w:hAnsi="Times New Roman"/>
                <w:color w:val="auto"/>
                <w:sz w:val="24"/>
                <w:highlight w:val="none"/>
              </w:rPr>
            </w:pPr>
          </w:p>
        </w:tc>
        <w:tc>
          <w:tcPr>
            <w:tcW w:w="1154" w:type="dxa"/>
            <w:vAlign w:val="center"/>
          </w:tcPr>
          <w:p w14:paraId="72B2B077">
            <w:pPr>
              <w:adjustRightInd w:val="0"/>
              <w:snapToGrid w:val="0"/>
              <w:jc w:val="center"/>
              <w:rPr>
                <w:rFonts w:ascii="Times New Roman" w:hAnsi="Times New Roman"/>
                <w:color w:val="auto"/>
                <w:sz w:val="24"/>
                <w:highlight w:val="none"/>
              </w:rPr>
            </w:pPr>
          </w:p>
        </w:tc>
      </w:tr>
      <w:tr w14:paraId="2EAC2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C4F710E">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226" w:type="dxa"/>
            <w:vAlign w:val="center"/>
          </w:tcPr>
          <w:p w14:paraId="0E19FDE6">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8BDED01">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2AEB57CA">
            <w:pPr>
              <w:adjustRightInd w:val="0"/>
              <w:snapToGrid w:val="0"/>
              <w:jc w:val="center"/>
              <w:rPr>
                <w:rFonts w:ascii="Times New Roman" w:hAnsi="Times New Roman"/>
                <w:color w:val="auto"/>
                <w:sz w:val="24"/>
                <w:highlight w:val="none"/>
              </w:rPr>
            </w:pPr>
          </w:p>
        </w:tc>
        <w:tc>
          <w:tcPr>
            <w:tcW w:w="1731" w:type="dxa"/>
            <w:vAlign w:val="center"/>
          </w:tcPr>
          <w:p w14:paraId="443EB93F">
            <w:pPr>
              <w:adjustRightInd w:val="0"/>
              <w:snapToGrid w:val="0"/>
              <w:jc w:val="center"/>
              <w:rPr>
                <w:rFonts w:ascii="Times New Roman" w:hAnsi="Times New Roman"/>
                <w:color w:val="auto"/>
                <w:sz w:val="24"/>
                <w:highlight w:val="none"/>
              </w:rPr>
            </w:pPr>
          </w:p>
        </w:tc>
        <w:tc>
          <w:tcPr>
            <w:tcW w:w="1154" w:type="dxa"/>
            <w:vAlign w:val="center"/>
          </w:tcPr>
          <w:p w14:paraId="70F8FF0D">
            <w:pPr>
              <w:adjustRightInd w:val="0"/>
              <w:snapToGrid w:val="0"/>
              <w:jc w:val="center"/>
              <w:rPr>
                <w:rFonts w:ascii="Times New Roman" w:hAnsi="Times New Roman"/>
                <w:color w:val="auto"/>
                <w:sz w:val="24"/>
                <w:highlight w:val="none"/>
              </w:rPr>
            </w:pPr>
          </w:p>
        </w:tc>
      </w:tr>
      <w:tr w14:paraId="40BE35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E5473B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226" w:type="dxa"/>
            <w:vAlign w:val="center"/>
          </w:tcPr>
          <w:p w14:paraId="649D4847">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5C94AD8">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F46879F">
            <w:pPr>
              <w:adjustRightInd w:val="0"/>
              <w:snapToGrid w:val="0"/>
              <w:jc w:val="center"/>
              <w:rPr>
                <w:rFonts w:ascii="Times New Roman" w:hAnsi="Times New Roman"/>
                <w:color w:val="auto"/>
                <w:sz w:val="24"/>
                <w:highlight w:val="none"/>
              </w:rPr>
            </w:pPr>
          </w:p>
        </w:tc>
        <w:tc>
          <w:tcPr>
            <w:tcW w:w="1731" w:type="dxa"/>
            <w:vAlign w:val="center"/>
          </w:tcPr>
          <w:p w14:paraId="3F966C83">
            <w:pPr>
              <w:adjustRightInd w:val="0"/>
              <w:snapToGrid w:val="0"/>
              <w:jc w:val="center"/>
              <w:rPr>
                <w:rFonts w:ascii="Times New Roman" w:hAnsi="Times New Roman"/>
                <w:color w:val="auto"/>
                <w:sz w:val="24"/>
                <w:highlight w:val="none"/>
              </w:rPr>
            </w:pPr>
          </w:p>
        </w:tc>
        <w:tc>
          <w:tcPr>
            <w:tcW w:w="1154" w:type="dxa"/>
            <w:vAlign w:val="center"/>
          </w:tcPr>
          <w:p w14:paraId="5295127A">
            <w:pPr>
              <w:adjustRightInd w:val="0"/>
              <w:snapToGrid w:val="0"/>
              <w:jc w:val="center"/>
              <w:rPr>
                <w:rFonts w:ascii="Times New Roman" w:hAnsi="Times New Roman"/>
                <w:color w:val="auto"/>
                <w:sz w:val="24"/>
                <w:highlight w:val="none"/>
              </w:rPr>
            </w:pPr>
          </w:p>
        </w:tc>
      </w:tr>
      <w:tr w14:paraId="7945E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7CE80CC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226" w:type="dxa"/>
            <w:vAlign w:val="center"/>
          </w:tcPr>
          <w:p w14:paraId="4349D51A">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F888C8D">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29F6354E">
            <w:pPr>
              <w:adjustRightInd w:val="0"/>
              <w:snapToGrid w:val="0"/>
              <w:jc w:val="center"/>
              <w:rPr>
                <w:rFonts w:ascii="Times New Roman" w:hAnsi="Times New Roman"/>
                <w:color w:val="auto"/>
                <w:sz w:val="24"/>
                <w:highlight w:val="none"/>
              </w:rPr>
            </w:pPr>
          </w:p>
        </w:tc>
        <w:tc>
          <w:tcPr>
            <w:tcW w:w="1731" w:type="dxa"/>
            <w:vAlign w:val="center"/>
          </w:tcPr>
          <w:p w14:paraId="70C134F3">
            <w:pPr>
              <w:adjustRightInd w:val="0"/>
              <w:snapToGrid w:val="0"/>
              <w:jc w:val="center"/>
              <w:rPr>
                <w:rFonts w:ascii="Times New Roman" w:hAnsi="Times New Roman"/>
                <w:color w:val="auto"/>
                <w:sz w:val="24"/>
                <w:highlight w:val="none"/>
              </w:rPr>
            </w:pPr>
          </w:p>
        </w:tc>
        <w:tc>
          <w:tcPr>
            <w:tcW w:w="1154" w:type="dxa"/>
            <w:vAlign w:val="center"/>
          </w:tcPr>
          <w:p w14:paraId="3DE919A2">
            <w:pPr>
              <w:adjustRightInd w:val="0"/>
              <w:snapToGrid w:val="0"/>
              <w:jc w:val="center"/>
              <w:rPr>
                <w:rFonts w:ascii="Times New Roman" w:hAnsi="Times New Roman"/>
                <w:color w:val="auto"/>
                <w:sz w:val="24"/>
                <w:highlight w:val="none"/>
              </w:rPr>
            </w:pPr>
          </w:p>
        </w:tc>
      </w:tr>
      <w:tr w14:paraId="786ACC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1893F5E">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226" w:type="dxa"/>
            <w:vAlign w:val="center"/>
          </w:tcPr>
          <w:p w14:paraId="11E6202E">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0E042FB">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6C7B216B">
            <w:pPr>
              <w:adjustRightInd w:val="0"/>
              <w:snapToGrid w:val="0"/>
              <w:jc w:val="center"/>
              <w:rPr>
                <w:rFonts w:ascii="Times New Roman" w:hAnsi="Times New Roman"/>
                <w:color w:val="auto"/>
                <w:sz w:val="24"/>
                <w:highlight w:val="none"/>
              </w:rPr>
            </w:pPr>
          </w:p>
        </w:tc>
        <w:tc>
          <w:tcPr>
            <w:tcW w:w="1731" w:type="dxa"/>
            <w:vAlign w:val="center"/>
          </w:tcPr>
          <w:p w14:paraId="65DC812C">
            <w:pPr>
              <w:adjustRightInd w:val="0"/>
              <w:snapToGrid w:val="0"/>
              <w:jc w:val="center"/>
              <w:rPr>
                <w:rFonts w:ascii="Times New Roman" w:hAnsi="Times New Roman"/>
                <w:color w:val="auto"/>
                <w:sz w:val="24"/>
                <w:highlight w:val="none"/>
              </w:rPr>
            </w:pPr>
          </w:p>
        </w:tc>
        <w:tc>
          <w:tcPr>
            <w:tcW w:w="1154" w:type="dxa"/>
            <w:vAlign w:val="center"/>
          </w:tcPr>
          <w:p w14:paraId="56BA24AE">
            <w:pPr>
              <w:adjustRightInd w:val="0"/>
              <w:snapToGrid w:val="0"/>
              <w:jc w:val="center"/>
              <w:rPr>
                <w:rFonts w:ascii="Times New Roman" w:hAnsi="Times New Roman"/>
                <w:color w:val="auto"/>
                <w:sz w:val="24"/>
                <w:highlight w:val="none"/>
              </w:rPr>
            </w:pPr>
          </w:p>
        </w:tc>
      </w:tr>
      <w:tr w14:paraId="399711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D3F2F3F">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7</w:t>
            </w:r>
          </w:p>
        </w:tc>
        <w:tc>
          <w:tcPr>
            <w:tcW w:w="2226" w:type="dxa"/>
            <w:vAlign w:val="center"/>
          </w:tcPr>
          <w:p w14:paraId="772B7F11">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208D0BA">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758A678">
            <w:pPr>
              <w:adjustRightInd w:val="0"/>
              <w:snapToGrid w:val="0"/>
              <w:jc w:val="center"/>
              <w:rPr>
                <w:rFonts w:ascii="Times New Roman" w:hAnsi="Times New Roman"/>
                <w:color w:val="auto"/>
                <w:sz w:val="24"/>
                <w:highlight w:val="none"/>
              </w:rPr>
            </w:pPr>
          </w:p>
        </w:tc>
        <w:tc>
          <w:tcPr>
            <w:tcW w:w="1731" w:type="dxa"/>
            <w:vAlign w:val="center"/>
          </w:tcPr>
          <w:p w14:paraId="512DDCC3">
            <w:pPr>
              <w:adjustRightInd w:val="0"/>
              <w:snapToGrid w:val="0"/>
              <w:jc w:val="center"/>
              <w:rPr>
                <w:rFonts w:ascii="Times New Roman" w:hAnsi="Times New Roman"/>
                <w:color w:val="auto"/>
                <w:sz w:val="24"/>
                <w:highlight w:val="none"/>
              </w:rPr>
            </w:pPr>
          </w:p>
        </w:tc>
        <w:tc>
          <w:tcPr>
            <w:tcW w:w="1154" w:type="dxa"/>
            <w:vAlign w:val="center"/>
          </w:tcPr>
          <w:p w14:paraId="19D82681">
            <w:pPr>
              <w:adjustRightInd w:val="0"/>
              <w:snapToGrid w:val="0"/>
              <w:jc w:val="center"/>
              <w:rPr>
                <w:rFonts w:ascii="Times New Roman" w:hAnsi="Times New Roman"/>
                <w:color w:val="auto"/>
                <w:sz w:val="24"/>
                <w:highlight w:val="none"/>
              </w:rPr>
            </w:pPr>
          </w:p>
        </w:tc>
      </w:tr>
      <w:tr w14:paraId="0ABFBE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5E62CC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8</w:t>
            </w:r>
          </w:p>
        </w:tc>
        <w:tc>
          <w:tcPr>
            <w:tcW w:w="2226" w:type="dxa"/>
            <w:vAlign w:val="center"/>
          </w:tcPr>
          <w:p w14:paraId="7853CC53">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2987BF4">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4FF4EA8">
            <w:pPr>
              <w:adjustRightInd w:val="0"/>
              <w:snapToGrid w:val="0"/>
              <w:jc w:val="center"/>
              <w:rPr>
                <w:rFonts w:ascii="Times New Roman" w:hAnsi="Times New Roman"/>
                <w:color w:val="auto"/>
                <w:sz w:val="24"/>
                <w:highlight w:val="none"/>
              </w:rPr>
            </w:pPr>
          </w:p>
        </w:tc>
        <w:tc>
          <w:tcPr>
            <w:tcW w:w="1731" w:type="dxa"/>
            <w:vAlign w:val="center"/>
          </w:tcPr>
          <w:p w14:paraId="37BFBF58">
            <w:pPr>
              <w:adjustRightInd w:val="0"/>
              <w:snapToGrid w:val="0"/>
              <w:jc w:val="center"/>
              <w:rPr>
                <w:rFonts w:ascii="Times New Roman" w:hAnsi="Times New Roman"/>
                <w:color w:val="auto"/>
                <w:sz w:val="24"/>
                <w:highlight w:val="none"/>
              </w:rPr>
            </w:pPr>
          </w:p>
        </w:tc>
        <w:tc>
          <w:tcPr>
            <w:tcW w:w="1154" w:type="dxa"/>
            <w:vAlign w:val="center"/>
          </w:tcPr>
          <w:p w14:paraId="4DEC5B61">
            <w:pPr>
              <w:adjustRightInd w:val="0"/>
              <w:snapToGrid w:val="0"/>
              <w:jc w:val="center"/>
              <w:rPr>
                <w:rFonts w:ascii="Times New Roman" w:hAnsi="Times New Roman"/>
                <w:color w:val="auto"/>
                <w:sz w:val="24"/>
                <w:highlight w:val="none"/>
              </w:rPr>
            </w:pPr>
          </w:p>
        </w:tc>
      </w:tr>
      <w:tr w14:paraId="20859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7FEC52D0">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2226" w:type="dxa"/>
            <w:vAlign w:val="center"/>
          </w:tcPr>
          <w:p w14:paraId="17A88CDA">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181DEF13">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460B25EE">
            <w:pPr>
              <w:adjustRightInd w:val="0"/>
              <w:snapToGrid w:val="0"/>
              <w:jc w:val="center"/>
              <w:rPr>
                <w:rFonts w:ascii="Times New Roman" w:hAnsi="Times New Roman"/>
                <w:color w:val="auto"/>
                <w:sz w:val="24"/>
                <w:highlight w:val="none"/>
              </w:rPr>
            </w:pPr>
          </w:p>
        </w:tc>
        <w:tc>
          <w:tcPr>
            <w:tcW w:w="1731" w:type="dxa"/>
            <w:vAlign w:val="center"/>
          </w:tcPr>
          <w:p w14:paraId="49981D48">
            <w:pPr>
              <w:adjustRightInd w:val="0"/>
              <w:snapToGrid w:val="0"/>
              <w:jc w:val="center"/>
              <w:rPr>
                <w:rFonts w:ascii="Times New Roman" w:hAnsi="Times New Roman"/>
                <w:color w:val="auto"/>
                <w:sz w:val="24"/>
                <w:highlight w:val="none"/>
              </w:rPr>
            </w:pPr>
          </w:p>
        </w:tc>
        <w:tc>
          <w:tcPr>
            <w:tcW w:w="1154" w:type="dxa"/>
            <w:vAlign w:val="center"/>
          </w:tcPr>
          <w:p w14:paraId="5F286AB4">
            <w:pPr>
              <w:adjustRightInd w:val="0"/>
              <w:snapToGrid w:val="0"/>
              <w:jc w:val="center"/>
              <w:rPr>
                <w:rFonts w:ascii="Times New Roman" w:hAnsi="Times New Roman"/>
                <w:color w:val="auto"/>
                <w:sz w:val="24"/>
                <w:highlight w:val="none"/>
              </w:rPr>
            </w:pPr>
          </w:p>
        </w:tc>
      </w:tr>
    </w:tbl>
    <w:p w14:paraId="6F2EE0E2">
      <w:pPr>
        <w:spacing w:line="440" w:lineRule="exact"/>
        <w:ind w:firstLine="480" w:firstLineChars="200"/>
        <w:rPr>
          <w:rFonts w:ascii="Times New Roman" w:hAnsi="Times New Roman"/>
          <w:color w:val="auto"/>
          <w:highlight w:val="none"/>
        </w:rPr>
      </w:pPr>
      <w:r>
        <w:rPr>
          <w:rFonts w:ascii="Times New Roman" w:hAnsi="Times New Roman"/>
          <w:color w:val="auto"/>
          <w:sz w:val="24"/>
          <w:highlight w:val="none"/>
        </w:rPr>
        <w:t>说明：提供详细的货物和服务范围，包括货物和服务类别及制造（开发）商、备品备件等。</w:t>
      </w:r>
    </w:p>
    <w:p w14:paraId="3C59B9BE">
      <w:pPr>
        <w:spacing w:line="500" w:lineRule="exact"/>
        <w:rPr>
          <w:rFonts w:ascii="Times New Roman" w:hAnsi="Times New Roman" w:eastAsia="仿宋_GB2312"/>
          <w:color w:val="auto"/>
          <w:sz w:val="24"/>
          <w:highlight w:val="none"/>
        </w:rPr>
      </w:pPr>
    </w:p>
    <w:p w14:paraId="2C2D5300">
      <w:pPr>
        <w:spacing w:line="500" w:lineRule="exact"/>
        <w:rPr>
          <w:rFonts w:ascii="Times New Roman" w:hAnsi="Times New Roman" w:eastAsia="仿宋_GB2312"/>
          <w:color w:val="auto"/>
          <w:sz w:val="24"/>
          <w:highlight w:val="none"/>
        </w:rPr>
      </w:pPr>
    </w:p>
    <w:p w14:paraId="1B7A8FFE">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36C7FE2">
      <w:pPr>
        <w:pStyle w:val="18"/>
        <w:spacing w:line="50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14:paraId="0FCD92C4">
      <w:pPr>
        <w:widowControl/>
        <w:jc w:val="left"/>
        <w:rPr>
          <w:rFonts w:ascii="Times New Roman" w:hAnsi="Times New Roman"/>
          <w:color w:val="auto"/>
          <w:sz w:val="32"/>
          <w:szCs w:val="32"/>
          <w:highlight w:val="none"/>
        </w:rPr>
      </w:pPr>
    </w:p>
    <w:p w14:paraId="3C1C3C30">
      <w:pPr>
        <w:adjustRightInd w:val="0"/>
        <w:snapToGrid w:val="0"/>
        <w:spacing w:line="520" w:lineRule="exact"/>
        <w:outlineLvl w:val="0"/>
        <w:rPr>
          <w:rFonts w:ascii="楷体_GB2312" w:hAnsi="Times New Roman" w:eastAsia="楷体_GB2312"/>
          <w:color w:val="auto"/>
          <w:sz w:val="32"/>
          <w:szCs w:val="32"/>
          <w:highlight w:val="none"/>
        </w:rPr>
      </w:pPr>
      <w:r>
        <w:rPr>
          <w:rFonts w:ascii="Times New Roman" w:hAnsi="Times New Roman"/>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四</w:t>
      </w:r>
    </w:p>
    <w:p w14:paraId="26FB0201">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资格性符合性检查对照表</w:t>
      </w:r>
    </w:p>
    <w:p w14:paraId="03995CEE">
      <w:pPr>
        <w:spacing w:line="520" w:lineRule="exact"/>
        <w:jc w:val="center"/>
        <w:rPr>
          <w:rFonts w:ascii="Times New Roman" w:hAnsi="Times New Roman" w:eastAsia="方正小标宋简体"/>
          <w:color w:val="auto"/>
          <w:sz w:val="40"/>
          <w:szCs w:val="40"/>
          <w:highlight w:val="none"/>
        </w:rPr>
      </w:pPr>
    </w:p>
    <w:p w14:paraId="308713C9">
      <w:pPr>
        <w:spacing w:line="440" w:lineRule="exact"/>
        <w:rPr>
          <w:rFonts w:ascii="Times New Roman" w:hAnsi="Times New Roman"/>
          <w:color w:val="auto"/>
          <w:sz w:val="24"/>
          <w:szCs w:val="24"/>
          <w:highlight w:val="none"/>
          <w:u w:val="single"/>
        </w:rPr>
      </w:pPr>
      <w:r>
        <w:rPr>
          <w:rFonts w:ascii="Times New Roman" w:hAnsi="Times New Roman"/>
          <w:color w:val="auto"/>
          <w:sz w:val="24"/>
          <w:highlight w:val="none"/>
        </w:rPr>
        <w:t>项目编号（包号）</w:t>
      </w:r>
      <w:r>
        <w:rPr>
          <w:rFonts w:ascii="Times New Roman" w:hAnsi="Times New Roman"/>
          <w:color w:val="auto"/>
          <w:sz w:val="24"/>
          <w:szCs w:val="24"/>
          <w:highlight w:val="none"/>
        </w:rPr>
        <w:t>：</w:t>
      </w:r>
    </w:p>
    <w:p w14:paraId="3E0E0433">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316"/>
        <w:gridCol w:w="1357"/>
        <w:gridCol w:w="1177"/>
        <w:gridCol w:w="1467"/>
      </w:tblGrid>
      <w:tr w14:paraId="0E0A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4" w:type="pct"/>
            <w:noWrap w:val="0"/>
            <w:vAlign w:val="center"/>
          </w:tcPr>
          <w:p w14:paraId="3B0F4C39">
            <w:pPr>
              <w:spacing w:line="300" w:lineRule="exact"/>
              <w:jc w:val="center"/>
              <w:rPr>
                <w:rFonts w:eastAsia="黑体"/>
                <w:color w:val="auto"/>
                <w:kern w:val="0"/>
                <w:sz w:val="24"/>
                <w:szCs w:val="24"/>
                <w:highlight w:val="none"/>
              </w:rPr>
            </w:pPr>
            <w:r>
              <w:rPr>
                <w:rFonts w:hint="eastAsia" w:eastAsia="黑体"/>
                <w:color w:val="auto"/>
                <w:kern w:val="0"/>
                <w:sz w:val="24"/>
                <w:szCs w:val="24"/>
                <w:highlight w:val="none"/>
              </w:rPr>
              <w:t>序</w:t>
            </w:r>
            <w:r>
              <w:rPr>
                <w:rFonts w:eastAsia="黑体"/>
                <w:color w:val="auto"/>
                <w:kern w:val="0"/>
                <w:sz w:val="24"/>
                <w:szCs w:val="24"/>
                <w:highlight w:val="none"/>
              </w:rPr>
              <w:t>号</w:t>
            </w:r>
          </w:p>
        </w:tc>
        <w:tc>
          <w:tcPr>
            <w:tcW w:w="2369" w:type="pct"/>
            <w:noWrap w:val="0"/>
            <w:vAlign w:val="center"/>
          </w:tcPr>
          <w:p w14:paraId="67FF9AF2">
            <w:pPr>
              <w:spacing w:line="300" w:lineRule="exact"/>
              <w:jc w:val="center"/>
              <w:rPr>
                <w:rFonts w:eastAsia="黑体"/>
                <w:color w:val="auto"/>
                <w:kern w:val="0"/>
                <w:sz w:val="24"/>
                <w:szCs w:val="24"/>
                <w:highlight w:val="none"/>
              </w:rPr>
            </w:pPr>
            <w:r>
              <w:rPr>
                <w:rFonts w:eastAsia="黑体"/>
                <w:color w:val="auto"/>
                <w:kern w:val="0"/>
                <w:sz w:val="24"/>
                <w:szCs w:val="24"/>
                <w:highlight w:val="none"/>
              </w:rPr>
              <w:t>资格性符合性检查内容</w:t>
            </w:r>
          </w:p>
        </w:tc>
        <w:tc>
          <w:tcPr>
            <w:tcW w:w="745" w:type="pct"/>
            <w:noWrap w:val="0"/>
            <w:vAlign w:val="center"/>
          </w:tcPr>
          <w:p w14:paraId="07EB40AC">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响应文件响应情况</w:t>
            </w:r>
          </w:p>
        </w:tc>
        <w:tc>
          <w:tcPr>
            <w:tcW w:w="646" w:type="pct"/>
            <w:noWrap w:val="0"/>
            <w:vAlign w:val="center"/>
          </w:tcPr>
          <w:p w14:paraId="42201016">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偏离情况说明</w:t>
            </w:r>
          </w:p>
        </w:tc>
        <w:tc>
          <w:tcPr>
            <w:tcW w:w="805" w:type="pct"/>
            <w:noWrap w:val="0"/>
            <w:vAlign w:val="center"/>
          </w:tcPr>
          <w:p w14:paraId="411E8686">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备注</w:t>
            </w:r>
          </w:p>
        </w:tc>
      </w:tr>
      <w:tr w14:paraId="1D15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56A3D4D">
            <w:pPr>
              <w:spacing w:line="300" w:lineRule="exact"/>
              <w:jc w:val="center"/>
              <w:rPr>
                <w:color w:val="auto"/>
                <w:kern w:val="0"/>
                <w:sz w:val="20"/>
                <w:szCs w:val="21"/>
                <w:highlight w:val="none"/>
              </w:rPr>
            </w:pPr>
            <w:r>
              <w:rPr>
                <w:color w:val="auto"/>
                <w:kern w:val="0"/>
                <w:sz w:val="20"/>
                <w:szCs w:val="21"/>
                <w:highlight w:val="none"/>
              </w:rPr>
              <w:t>1</w:t>
            </w:r>
          </w:p>
        </w:tc>
        <w:tc>
          <w:tcPr>
            <w:tcW w:w="2369" w:type="pct"/>
            <w:noWrap w:val="0"/>
            <w:vAlign w:val="top"/>
          </w:tcPr>
          <w:p w14:paraId="0F1F6320">
            <w:pPr>
              <w:spacing w:line="300" w:lineRule="exact"/>
              <w:rPr>
                <w:color w:val="auto"/>
                <w:kern w:val="0"/>
                <w:sz w:val="20"/>
                <w:szCs w:val="20"/>
                <w:highlight w:val="none"/>
              </w:rPr>
            </w:pPr>
          </w:p>
        </w:tc>
        <w:tc>
          <w:tcPr>
            <w:tcW w:w="745" w:type="pct"/>
            <w:noWrap w:val="0"/>
            <w:vAlign w:val="top"/>
          </w:tcPr>
          <w:p w14:paraId="637C490E">
            <w:pPr>
              <w:spacing w:line="300" w:lineRule="exact"/>
              <w:jc w:val="center"/>
              <w:rPr>
                <w:color w:val="auto"/>
                <w:kern w:val="0"/>
                <w:sz w:val="20"/>
                <w:szCs w:val="21"/>
                <w:highlight w:val="none"/>
              </w:rPr>
            </w:pPr>
          </w:p>
        </w:tc>
        <w:tc>
          <w:tcPr>
            <w:tcW w:w="646" w:type="pct"/>
            <w:noWrap w:val="0"/>
            <w:vAlign w:val="top"/>
          </w:tcPr>
          <w:p w14:paraId="32106F13">
            <w:pPr>
              <w:spacing w:line="300" w:lineRule="exact"/>
              <w:jc w:val="center"/>
              <w:rPr>
                <w:color w:val="auto"/>
                <w:kern w:val="0"/>
                <w:sz w:val="20"/>
                <w:szCs w:val="21"/>
                <w:highlight w:val="none"/>
              </w:rPr>
            </w:pPr>
          </w:p>
        </w:tc>
        <w:tc>
          <w:tcPr>
            <w:tcW w:w="805" w:type="pct"/>
            <w:noWrap w:val="0"/>
            <w:vAlign w:val="center"/>
          </w:tcPr>
          <w:p w14:paraId="780E34B1">
            <w:pPr>
              <w:spacing w:line="300" w:lineRule="exact"/>
              <w:ind w:left="-5" w:leftChars="-50" w:hanging="100" w:hangingChars="50"/>
              <w:jc w:val="center"/>
              <w:rPr>
                <w:color w:val="auto"/>
                <w:kern w:val="0"/>
                <w:sz w:val="20"/>
                <w:szCs w:val="21"/>
                <w:highlight w:val="none"/>
              </w:rPr>
            </w:pPr>
          </w:p>
        </w:tc>
      </w:tr>
      <w:tr w14:paraId="09C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788839A">
            <w:pPr>
              <w:spacing w:line="300" w:lineRule="exact"/>
              <w:jc w:val="center"/>
              <w:rPr>
                <w:color w:val="auto"/>
                <w:kern w:val="0"/>
                <w:sz w:val="20"/>
                <w:szCs w:val="21"/>
                <w:highlight w:val="none"/>
              </w:rPr>
            </w:pPr>
            <w:r>
              <w:rPr>
                <w:color w:val="auto"/>
                <w:kern w:val="0"/>
                <w:sz w:val="20"/>
                <w:szCs w:val="21"/>
                <w:highlight w:val="none"/>
              </w:rPr>
              <w:t>2</w:t>
            </w:r>
          </w:p>
        </w:tc>
        <w:tc>
          <w:tcPr>
            <w:tcW w:w="2369" w:type="pct"/>
            <w:noWrap w:val="0"/>
            <w:vAlign w:val="top"/>
          </w:tcPr>
          <w:p w14:paraId="7889F0C5">
            <w:pPr>
              <w:spacing w:line="300" w:lineRule="exact"/>
              <w:rPr>
                <w:color w:val="auto"/>
                <w:kern w:val="0"/>
                <w:sz w:val="20"/>
                <w:szCs w:val="20"/>
                <w:highlight w:val="none"/>
              </w:rPr>
            </w:pPr>
          </w:p>
        </w:tc>
        <w:tc>
          <w:tcPr>
            <w:tcW w:w="745" w:type="pct"/>
            <w:noWrap w:val="0"/>
            <w:vAlign w:val="top"/>
          </w:tcPr>
          <w:p w14:paraId="10D950C1">
            <w:pPr>
              <w:spacing w:line="300" w:lineRule="exact"/>
              <w:jc w:val="center"/>
              <w:rPr>
                <w:color w:val="auto"/>
                <w:kern w:val="0"/>
                <w:sz w:val="20"/>
                <w:szCs w:val="21"/>
                <w:highlight w:val="none"/>
              </w:rPr>
            </w:pPr>
          </w:p>
        </w:tc>
        <w:tc>
          <w:tcPr>
            <w:tcW w:w="646" w:type="pct"/>
            <w:noWrap w:val="0"/>
            <w:vAlign w:val="top"/>
          </w:tcPr>
          <w:p w14:paraId="23AEFABA">
            <w:pPr>
              <w:spacing w:line="300" w:lineRule="exact"/>
              <w:jc w:val="center"/>
              <w:rPr>
                <w:color w:val="auto"/>
                <w:kern w:val="0"/>
                <w:sz w:val="20"/>
                <w:szCs w:val="21"/>
                <w:highlight w:val="none"/>
              </w:rPr>
            </w:pPr>
          </w:p>
        </w:tc>
        <w:tc>
          <w:tcPr>
            <w:tcW w:w="805" w:type="pct"/>
            <w:noWrap w:val="0"/>
            <w:vAlign w:val="center"/>
          </w:tcPr>
          <w:p w14:paraId="650209AF">
            <w:pPr>
              <w:spacing w:line="300" w:lineRule="exact"/>
              <w:jc w:val="center"/>
              <w:rPr>
                <w:color w:val="auto"/>
                <w:kern w:val="0"/>
                <w:sz w:val="20"/>
                <w:szCs w:val="21"/>
                <w:highlight w:val="none"/>
              </w:rPr>
            </w:pPr>
          </w:p>
        </w:tc>
      </w:tr>
      <w:tr w14:paraId="5828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FB509CE">
            <w:pPr>
              <w:spacing w:line="300" w:lineRule="exact"/>
              <w:jc w:val="center"/>
              <w:rPr>
                <w:color w:val="auto"/>
                <w:kern w:val="0"/>
                <w:sz w:val="20"/>
                <w:szCs w:val="21"/>
                <w:highlight w:val="none"/>
              </w:rPr>
            </w:pPr>
            <w:r>
              <w:rPr>
                <w:color w:val="auto"/>
                <w:kern w:val="0"/>
                <w:sz w:val="20"/>
                <w:szCs w:val="21"/>
                <w:highlight w:val="none"/>
              </w:rPr>
              <w:t>3</w:t>
            </w:r>
          </w:p>
        </w:tc>
        <w:tc>
          <w:tcPr>
            <w:tcW w:w="2369" w:type="pct"/>
            <w:noWrap w:val="0"/>
            <w:vAlign w:val="top"/>
          </w:tcPr>
          <w:p w14:paraId="5CFEC0F7">
            <w:pPr>
              <w:spacing w:line="300" w:lineRule="exact"/>
              <w:rPr>
                <w:color w:val="auto"/>
                <w:kern w:val="0"/>
                <w:sz w:val="20"/>
                <w:szCs w:val="20"/>
                <w:highlight w:val="none"/>
              </w:rPr>
            </w:pPr>
          </w:p>
        </w:tc>
        <w:tc>
          <w:tcPr>
            <w:tcW w:w="745" w:type="pct"/>
            <w:noWrap w:val="0"/>
            <w:vAlign w:val="top"/>
          </w:tcPr>
          <w:p w14:paraId="00E0DD2D">
            <w:pPr>
              <w:spacing w:line="300" w:lineRule="exact"/>
              <w:jc w:val="center"/>
              <w:rPr>
                <w:color w:val="auto"/>
                <w:kern w:val="0"/>
                <w:sz w:val="20"/>
                <w:szCs w:val="21"/>
                <w:highlight w:val="none"/>
              </w:rPr>
            </w:pPr>
          </w:p>
        </w:tc>
        <w:tc>
          <w:tcPr>
            <w:tcW w:w="646" w:type="pct"/>
            <w:noWrap w:val="0"/>
            <w:vAlign w:val="top"/>
          </w:tcPr>
          <w:p w14:paraId="27287EF6">
            <w:pPr>
              <w:spacing w:line="300" w:lineRule="exact"/>
              <w:jc w:val="center"/>
              <w:rPr>
                <w:color w:val="auto"/>
                <w:kern w:val="0"/>
                <w:sz w:val="20"/>
                <w:szCs w:val="21"/>
                <w:highlight w:val="none"/>
              </w:rPr>
            </w:pPr>
          </w:p>
        </w:tc>
        <w:tc>
          <w:tcPr>
            <w:tcW w:w="805" w:type="pct"/>
            <w:noWrap w:val="0"/>
            <w:vAlign w:val="center"/>
          </w:tcPr>
          <w:p w14:paraId="57A09BDA">
            <w:pPr>
              <w:spacing w:line="300" w:lineRule="exact"/>
              <w:jc w:val="center"/>
              <w:rPr>
                <w:color w:val="auto"/>
                <w:kern w:val="0"/>
                <w:sz w:val="20"/>
                <w:szCs w:val="21"/>
                <w:highlight w:val="none"/>
              </w:rPr>
            </w:pPr>
          </w:p>
        </w:tc>
      </w:tr>
      <w:tr w14:paraId="23D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38D0E5B2">
            <w:pPr>
              <w:spacing w:line="300" w:lineRule="exact"/>
              <w:jc w:val="center"/>
              <w:rPr>
                <w:color w:val="auto"/>
                <w:kern w:val="0"/>
                <w:sz w:val="20"/>
                <w:szCs w:val="21"/>
                <w:highlight w:val="none"/>
              </w:rPr>
            </w:pPr>
            <w:r>
              <w:rPr>
                <w:color w:val="auto"/>
                <w:kern w:val="0"/>
                <w:sz w:val="20"/>
                <w:szCs w:val="21"/>
                <w:highlight w:val="none"/>
              </w:rPr>
              <w:t>4</w:t>
            </w:r>
          </w:p>
        </w:tc>
        <w:tc>
          <w:tcPr>
            <w:tcW w:w="2369" w:type="pct"/>
            <w:noWrap w:val="0"/>
            <w:vAlign w:val="top"/>
          </w:tcPr>
          <w:p w14:paraId="50657D86">
            <w:pPr>
              <w:spacing w:line="300" w:lineRule="exact"/>
              <w:rPr>
                <w:color w:val="auto"/>
                <w:kern w:val="0"/>
                <w:sz w:val="20"/>
                <w:szCs w:val="20"/>
                <w:highlight w:val="none"/>
              </w:rPr>
            </w:pPr>
          </w:p>
        </w:tc>
        <w:tc>
          <w:tcPr>
            <w:tcW w:w="745" w:type="pct"/>
            <w:noWrap w:val="0"/>
            <w:vAlign w:val="top"/>
          </w:tcPr>
          <w:p w14:paraId="09A4380A">
            <w:pPr>
              <w:spacing w:line="300" w:lineRule="exact"/>
              <w:jc w:val="center"/>
              <w:rPr>
                <w:color w:val="auto"/>
                <w:kern w:val="0"/>
                <w:sz w:val="20"/>
                <w:szCs w:val="21"/>
                <w:highlight w:val="none"/>
              </w:rPr>
            </w:pPr>
          </w:p>
        </w:tc>
        <w:tc>
          <w:tcPr>
            <w:tcW w:w="646" w:type="pct"/>
            <w:noWrap w:val="0"/>
            <w:vAlign w:val="top"/>
          </w:tcPr>
          <w:p w14:paraId="664398DE">
            <w:pPr>
              <w:spacing w:line="300" w:lineRule="exact"/>
              <w:jc w:val="center"/>
              <w:rPr>
                <w:color w:val="auto"/>
                <w:kern w:val="0"/>
                <w:sz w:val="20"/>
                <w:szCs w:val="21"/>
                <w:highlight w:val="none"/>
              </w:rPr>
            </w:pPr>
          </w:p>
        </w:tc>
        <w:tc>
          <w:tcPr>
            <w:tcW w:w="805" w:type="pct"/>
            <w:noWrap w:val="0"/>
            <w:vAlign w:val="center"/>
          </w:tcPr>
          <w:p w14:paraId="41090004">
            <w:pPr>
              <w:spacing w:line="300" w:lineRule="exact"/>
              <w:jc w:val="center"/>
              <w:rPr>
                <w:color w:val="auto"/>
                <w:kern w:val="0"/>
                <w:sz w:val="20"/>
                <w:szCs w:val="21"/>
                <w:highlight w:val="none"/>
              </w:rPr>
            </w:pPr>
          </w:p>
        </w:tc>
      </w:tr>
      <w:tr w14:paraId="77E8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72BEF78">
            <w:pPr>
              <w:spacing w:line="300" w:lineRule="exact"/>
              <w:jc w:val="center"/>
              <w:rPr>
                <w:color w:val="auto"/>
                <w:kern w:val="0"/>
                <w:sz w:val="20"/>
                <w:szCs w:val="21"/>
                <w:highlight w:val="none"/>
              </w:rPr>
            </w:pPr>
            <w:r>
              <w:rPr>
                <w:color w:val="auto"/>
                <w:kern w:val="0"/>
                <w:sz w:val="20"/>
                <w:szCs w:val="21"/>
                <w:highlight w:val="none"/>
              </w:rPr>
              <w:t>5</w:t>
            </w:r>
          </w:p>
        </w:tc>
        <w:tc>
          <w:tcPr>
            <w:tcW w:w="2369" w:type="pct"/>
            <w:noWrap w:val="0"/>
            <w:vAlign w:val="top"/>
          </w:tcPr>
          <w:p w14:paraId="092ED62B">
            <w:pPr>
              <w:spacing w:line="300" w:lineRule="exact"/>
              <w:rPr>
                <w:color w:val="auto"/>
                <w:kern w:val="0"/>
                <w:sz w:val="20"/>
                <w:szCs w:val="20"/>
                <w:highlight w:val="none"/>
              </w:rPr>
            </w:pPr>
          </w:p>
        </w:tc>
        <w:tc>
          <w:tcPr>
            <w:tcW w:w="745" w:type="pct"/>
            <w:noWrap w:val="0"/>
            <w:vAlign w:val="top"/>
          </w:tcPr>
          <w:p w14:paraId="08CB8329">
            <w:pPr>
              <w:spacing w:line="300" w:lineRule="exact"/>
              <w:jc w:val="center"/>
              <w:rPr>
                <w:color w:val="auto"/>
                <w:kern w:val="0"/>
                <w:sz w:val="20"/>
                <w:szCs w:val="21"/>
                <w:highlight w:val="none"/>
              </w:rPr>
            </w:pPr>
          </w:p>
        </w:tc>
        <w:tc>
          <w:tcPr>
            <w:tcW w:w="646" w:type="pct"/>
            <w:noWrap w:val="0"/>
            <w:vAlign w:val="top"/>
          </w:tcPr>
          <w:p w14:paraId="00133C29">
            <w:pPr>
              <w:spacing w:line="300" w:lineRule="exact"/>
              <w:jc w:val="center"/>
              <w:rPr>
                <w:color w:val="auto"/>
                <w:kern w:val="0"/>
                <w:sz w:val="20"/>
                <w:szCs w:val="21"/>
                <w:highlight w:val="none"/>
              </w:rPr>
            </w:pPr>
          </w:p>
        </w:tc>
        <w:tc>
          <w:tcPr>
            <w:tcW w:w="805" w:type="pct"/>
            <w:noWrap w:val="0"/>
            <w:vAlign w:val="center"/>
          </w:tcPr>
          <w:p w14:paraId="2465007A">
            <w:pPr>
              <w:spacing w:line="300" w:lineRule="exact"/>
              <w:jc w:val="center"/>
              <w:rPr>
                <w:color w:val="auto"/>
                <w:kern w:val="0"/>
                <w:sz w:val="20"/>
                <w:szCs w:val="21"/>
                <w:highlight w:val="none"/>
              </w:rPr>
            </w:pPr>
          </w:p>
        </w:tc>
      </w:tr>
      <w:tr w14:paraId="4F2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605EDBDE">
            <w:pPr>
              <w:spacing w:line="300" w:lineRule="exact"/>
              <w:jc w:val="center"/>
              <w:rPr>
                <w:color w:val="auto"/>
                <w:kern w:val="0"/>
                <w:sz w:val="20"/>
                <w:szCs w:val="21"/>
                <w:highlight w:val="none"/>
              </w:rPr>
            </w:pPr>
            <w:r>
              <w:rPr>
                <w:color w:val="auto"/>
                <w:kern w:val="0"/>
                <w:sz w:val="20"/>
                <w:szCs w:val="21"/>
                <w:highlight w:val="none"/>
              </w:rPr>
              <w:t>6</w:t>
            </w:r>
          </w:p>
        </w:tc>
        <w:tc>
          <w:tcPr>
            <w:tcW w:w="2369" w:type="pct"/>
            <w:noWrap w:val="0"/>
            <w:vAlign w:val="top"/>
          </w:tcPr>
          <w:p w14:paraId="76526BE8">
            <w:pPr>
              <w:spacing w:line="300" w:lineRule="exact"/>
              <w:rPr>
                <w:color w:val="auto"/>
                <w:kern w:val="0"/>
                <w:sz w:val="20"/>
                <w:szCs w:val="20"/>
                <w:highlight w:val="none"/>
              </w:rPr>
            </w:pPr>
          </w:p>
        </w:tc>
        <w:tc>
          <w:tcPr>
            <w:tcW w:w="745" w:type="pct"/>
            <w:noWrap w:val="0"/>
            <w:vAlign w:val="top"/>
          </w:tcPr>
          <w:p w14:paraId="22D7E2FF">
            <w:pPr>
              <w:spacing w:line="300" w:lineRule="exact"/>
              <w:jc w:val="left"/>
              <w:rPr>
                <w:color w:val="auto"/>
                <w:kern w:val="0"/>
                <w:sz w:val="20"/>
                <w:szCs w:val="21"/>
                <w:highlight w:val="none"/>
              </w:rPr>
            </w:pPr>
          </w:p>
        </w:tc>
        <w:tc>
          <w:tcPr>
            <w:tcW w:w="646" w:type="pct"/>
            <w:noWrap w:val="0"/>
            <w:vAlign w:val="top"/>
          </w:tcPr>
          <w:p w14:paraId="69A8D3FE">
            <w:pPr>
              <w:spacing w:line="300" w:lineRule="exact"/>
              <w:jc w:val="left"/>
              <w:rPr>
                <w:color w:val="auto"/>
                <w:kern w:val="0"/>
                <w:sz w:val="20"/>
                <w:szCs w:val="21"/>
                <w:highlight w:val="none"/>
              </w:rPr>
            </w:pPr>
          </w:p>
        </w:tc>
        <w:tc>
          <w:tcPr>
            <w:tcW w:w="805" w:type="pct"/>
            <w:noWrap w:val="0"/>
            <w:vAlign w:val="center"/>
          </w:tcPr>
          <w:p w14:paraId="19D6B6E6">
            <w:pPr>
              <w:spacing w:line="300" w:lineRule="exact"/>
              <w:jc w:val="center"/>
              <w:rPr>
                <w:color w:val="auto"/>
                <w:kern w:val="0"/>
                <w:sz w:val="20"/>
                <w:szCs w:val="21"/>
                <w:highlight w:val="none"/>
              </w:rPr>
            </w:pPr>
          </w:p>
        </w:tc>
      </w:tr>
      <w:tr w14:paraId="5955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AC7F375">
            <w:pPr>
              <w:spacing w:line="300" w:lineRule="exact"/>
              <w:jc w:val="center"/>
              <w:rPr>
                <w:color w:val="auto"/>
                <w:kern w:val="0"/>
                <w:sz w:val="20"/>
                <w:szCs w:val="21"/>
                <w:highlight w:val="none"/>
              </w:rPr>
            </w:pPr>
            <w:r>
              <w:rPr>
                <w:color w:val="auto"/>
                <w:kern w:val="0"/>
                <w:sz w:val="20"/>
                <w:szCs w:val="21"/>
                <w:highlight w:val="none"/>
              </w:rPr>
              <w:t>7</w:t>
            </w:r>
          </w:p>
        </w:tc>
        <w:tc>
          <w:tcPr>
            <w:tcW w:w="2369" w:type="pct"/>
            <w:noWrap w:val="0"/>
            <w:vAlign w:val="top"/>
          </w:tcPr>
          <w:p w14:paraId="269D1D2F">
            <w:pPr>
              <w:spacing w:line="300" w:lineRule="exact"/>
              <w:rPr>
                <w:color w:val="auto"/>
                <w:kern w:val="0"/>
                <w:sz w:val="20"/>
                <w:szCs w:val="20"/>
                <w:highlight w:val="none"/>
              </w:rPr>
            </w:pPr>
          </w:p>
        </w:tc>
        <w:tc>
          <w:tcPr>
            <w:tcW w:w="745" w:type="pct"/>
            <w:noWrap w:val="0"/>
            <w:vAlign w:val="top"/>
          </w:tcPr>
          <w:p w14:paraId="2AA1A4E3">
            <w:pPr>
              <w:spacing w:line="300" w:lineRule="exact"/>
              <w:jc w:val="left"/>
              <w:rPr>
                <w:color w:val="auto"/>
                <w:kern w:val="0"/>
                <w:sz w:val="20"/>
                <w:szCs w:val="21"/>
                <w:highlight w:val="none"/>
              </w:rPr>
            </w:pPr>
          </w:p>
        </w:tc>
        <w:tc>
          <w:tcPr>
            <w:tcW w:w="646" w:type="pct"/>
            <w:noWrap w:val="0"/>
            <w:vAlign w:val="top"/>
          </w:tcPr>
          <w:p w14:paraId="4E4EABD1">
            <w:pPr>
              <w:spacing w:line="300" w:lineRule="exact"/>
              <w:jc w:val="left"/>
              <w:rPr>
                <w:color w:val="auto"/>
                <w:kern w:val="0"/>
                <w:sz w:val="20"/>
                <w:szCs w:val="21"/>
                <w:highlight w:val="none"/>
              </w:rPr>
            </w:pPr>
          </w:p>
        </w:tc>
        <w:tc>
          <w:tcPr>
            <w:tcW w:w="805" w:type="pct"/>
            <w:noWrap w:val="0"/>
            <w:vAlign w:val="center"/>
          </w:tcPr>
          <w:p w14:paraId="1EEE816A">
            <w:pPr>
              <w:spacing w:line="300" w:lineRule="exact"/>
              <w:jc w:val="center"/>
              <w:rPr>
                <w:color w:val="auto"/>
                <w:kern w:val="0"/>
                <w:sz w:val="20"/>
                <w:szCs w:val="21"/>
                <w:highlight w:val="none"/>
              </w:rPr>
            </w:pPr>
          </w:p>
        </w:tc>
      </w:tr>
      <w:tr w14:paraId="49F3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77999D2C">
            <w:pPr>
              <w:spacing w:line="300" w:lineRule="exact"/>
              <w:jc w:val="center"/>
              <w:rPr>
                <w:color w:val="auto"/>
                <w:kern w:val="0"/>
                <w:sz w:val="20"/>
                <w:szCs w:val="21"/>
                <w:highlight w:val="none"/>
              </w:rPr>
            </w:pPr>
            <w:r>
              <w:rPr>
                <w:color w:val="auto"/>
                <w:kern w:val="0"/>
                <w:sz w:val="20"/>
                <w:szCs w:val="21"/>
                <w:highlight w:val="none"/>
              </w:rPr>
              <w:t>8</w:t>
            </w:r>
          </w:p>
        </w:tc>
        <w:tc>
          <w:tcPr>
            <w:tcW w:w="2369" w:type="pct"/>
            <w:noWrap w:val="0"/>
            <w:vAlign w:val="top"/>
          </w:tcPr>
          <w:p w14:paraId="66A6AA7E">
            <w:pPr>
              <w:spacing w:line="300" w:lineRule="exact"/>
              <w:rPr>
                <w:color w:val="auto"/>
                <w:kern w:val="0"/>
                <w:sz w:val="20"/>
                <w:szCs w:val="20"/>
                <w:highlight w:val="none"/>
              </w:rPr>
            </w:pPr>
          </w:p>
        </w:tc>
        <w:tc>
          <w:tcPr>
            <w:tcW w:w="745" w:type="pct"/>
            <w:noWrap w:val="0"/>
            <w:vAlign w:val="top"/>
          </w:tcPr>
          <w:p w14:paraId="4A3029CD">
            <w:pPr>
              <w:spacing w:line="300" w:lineRule="exact"/>
              <w:jc w:val="center"/>
              <w:rPr>
                <w:color w:val="auto"/>
                <w:kern w:val="0"/>
                <w:sz w:val="20"/>
                <w:szCs w:val="21"/>
                <w:highlight w:val="none"/>
              </w:rPr>
            </w:pPr>
          </w:p>
        </w:tc>
        <w:tc>
          <w:tcPr>
            <w:tcW w:w="646" w:type="pct"/>
            <w:noWrap w:val="0"/>
            <w:vAlign w:val="top"/>
          </w:tcPr>
          <w:p w14:paraId="3D5295A6">
            <w:pPr>
              <w:spacing w:line="300" w:lineRule="exact"/>
              <w:jc w:val="center"/>
              <w:rPr>
                <w:color w:val="auto"/>
                <w:kern w:val="0"/>
                <w:sz w:val="20"/>
                <w:szCs w:val="21"/>
                <w:highlight w:val="none"/>
              </w:rPr>
            </w:pPr>
          </w:p>
        </w:tc>
        <w:tc>
          <w:tcPr>
            <w:tcW w:w="805" w:type="pct"/>
            <w:noWrap w:val="0"/>
            <w:vAlign w:val="center"/>
          </w:tcPr>
          <w:p w14:paraId="48691130">
            <w:pPr>
              <w:spacing w:line="300" w:lineRule="exact"/>
              <w:jc w:val="center"/>
              <w:rPr>
                <w:color w:val="auto"/>
                <w:kern w:val="0"/>
                <w:sz w:val="20"/>
                <w:szCs w:val="21"/>
                <w:highlight w:val="none"/>
              </w:rPr>
            </w:pPr>
          </w:p>
        </w:tc>
      </w:tr>
      <w:tr w14:paraId="009E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11E3702">
            <w:pPr>
              <w:spacing w:line="300" w:lineRule="exact"/>
              <w:jc w:val="center"/>
              <w:rPr>
                <w:color w:val="auto"/>
                <w:kern w:val="0"/>
                <w:sz w:val="20"/>
                <w:szCs w:val="21"/>
                <w:highlight w:val="none"/>
              </w:rPr>
            </w:pPr>
            <w:r>
              <w:rPr>
                <w:color w:val="auto"/>
                <w:kern w:val="0"/>
                <w:sz w:val="20"/>
                <w:szCs w:val="21"/>
                <w:highlight w:val="none"/>
              </w:rPr>
              <w:t>9</w:t>
            </w:r>
          </w:p>
        </w:tc>
        <w:tc>
          <w:tcPr>
            <w:tcW w:w="2369" w:type="pct"/>
            <w:noWrap w:val="0"/>
            <w:vAlign w:val="top"/>
          </w:tcPr>
          <w:p w14:paraId="29A8EEB6">
            <w:pPr>
              <w:spacing w:line="300" w:lineRule="exact"/>
              <w:rPr>
                <w:color w:val="auto"/>
                <w:kern w:val="0"/>
                <w:sz w:val="20"/>
                <w:szCs w:val="20"/>
                <w:highlight w:val="none"/>
              </w:rPr>
            </w:pPr>
          </w:p>
        </w:tc>
        <w:tc>
          <w:tcPr>
            <w:tcW w:w="745" w:type="pct"/>
            <w:noWrap w:val="0"/>
            <w:vAlign w:val="top"/>
          </w:tcPr>
          <w:p w14:paraId="717058D0">
            <w:pPr>
              <w:spacing w:line="300" w:lineRule="exact"/>
              <w:jc w:val="center"/>
              <w:rPr>
                <w:color w:val="auto"/>
                <w:kern w:val="0"/>
                <w:sz w:val="20"/>
                <w:szCs w:val="21"/>
                <w:highlight w:val="none"/>
              </w:rPr>
            </w:pPr>
          </w:p>
        </w:tc>
        <w:tc>
          <w:tcPr>
            <w:tcW w:w="646" w:type="pct"/>
            <w:noWrap w:val="0"/>
            <w:vAlign w:val="top"/>
          </w:tcPr>
          <w:p w14:paraId="1E0FAE9B">
            <w:pPr>
              <w:spacing w:line="300" w:lineRule="exact"/>
              <w:jc w:val="center"/>
              <w:rPr>
                <w:color w:val="auto"/>
                <w:kern w:val="0"/>
                <w:sz w:val="20"/>
                <w:szCs w:val="21"/>
                <w:highlight w:val="none"/>
              </w:rPr>
            </w:pPr>
          </w:p>
        </w:tc>
        <w:tc>
          <w:tcPr>
            <w:tcW w:w="805" w:type="pct"/>
            <w:noWrap w:val="0"/>
            <w:vAlign w:val="center"/>
          </w:tcPr>
          <w:p w14:paraId="7069C91E">
            <w:pPr>
              <w:spacing w:line="300" w:lineRule="exact"/>
              <w:jc w:val="center"/>
              <w:rPr>
                <w:color w:val="auto"/>
                <w:kern w:val="0"/>
                <w:sz w:val="20"/>
                <w:szCs w:val="21"/>
                <w:highlight w:val="none"/>
              </w:rPr>
            </w:pPr>
          </w:p>
        </w:tc>
      </w:tr>
      <w:tr w14:paraId="6E6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83B7769">
            <w:pPr>
              <w:spacing w:line="300" w:lineRule="exact"/>
              <w:jc w:val="center"/>
              <w:rPr>
                <w:color w:val="auto"/>
                <w:kern w:val="0"/>
                <w:sz w:val="20"/>
                <w:szCs w:val="21"/>
                <w:highlight w:val="none"/>
              </w:rPr>
            </w:pPr>
            <w:r>
              <w:rPr>
                <w:color w:val="auto"/>
                <w:kern w:val="0"/>
                <w:sz w:val="20"/>
                <w:szCs w:val="21"/>
                <w:highlight w:val="none"/>
              </w:rPr>
              <w:t>…</w:t>
            </w:r>
          </w:p>
        </w:tc>
        <w:tc>
          <w:tcPr>
            <w:tcW w:w="2369" w:type="pct"/>
            <w:noWrap w:val="0"/>
            <w:vAlign w:val="top"/>
          </w:tcPr>
          <w:p w14:paraId="75512231">
            <w:pPr>
              <w:spacing w:line="300" w:lineRule="exact"/>
              <w:rPr>
                <w:color w:val="auto"/>
                <w:kern w:val="0"/>
                <w:sz w:val="20"/>
                <w:szCs w:val="20"/>
                <w:highlight w:val="none"/>
              </w:rPr>
            </w:pPr>
          </w:p>
        </w:tc>
        <w:tc>
          <w:tcPr>
            <w:tcW w:w="745" w:type="pct"/>
            <w:noWrap w:val="0"/>
            <w:vAlign w:val="top"/>
          </w:tcPr>
          <w:p w14:paraId="230B70E3">
            <w:pPr>
              <w:spacing w:line="300" w:lineRule="exact"/>
              <w:jc w:val="center"/>
              <w:rPr>
                <w:color w:val="auto"/>
                <w:kern w:val="0"/>
                <w:sz w:val="20"/>
                <w:szCs w:val="21"/>
                <w:highlight w:val="none"/>
              </w:rPr>
            </w:pPr>
          </w:p>
        </w:tc>
        <w:tc>
          <w:tcPr>
            <w:tcW w:w="646" w:type="pct"/>
            <w:noWrap w:val="0"/>
            <w:vAlign w:val="top"/>
          </w:tcPr>
          <w:p w14:paraId="1274C45C">
            <w:pPr>
              <w:spacing w:line="300" w:lineRule="exact"/>
              <w:jc w:val="center"/>
              <w:rPr>
                <w:color w:val="auto"/>
                <w:kern w:val="0"/>
                <w:sz w:val="20"/>
                <w:szCs w:val="21"/>
                <w:highlight w:val="none"/>
              </w:rPr>
            </w:pPr>
          </w:p>
        </w:tc>
        <w:tc>
          <w:tcPr>
            <w:tcW w:w="805" w:type="pct"/>
            <w:noWrap w:val="0"/>
            <w:vAlign w:val="center"/>
          </w:tcPr>
          <w:p w14:paraId="27047204">
            <w:pPr>
              <w:spacing w:line="300" w:lineRule="exact"/>
              <w:jc w:val="center"/>
              <w:rPr>
                <w:color w:val="auto"/>
                <w:kern w:val="0"/>
                <w:sz w:val="20"/>
                <w:szCs w:val="21"/>
                <w:highlight w:val="none"/>
              </w:rPr>
            </w:pPr>
          </w:p>
        </w:tc>
      </w:tr>
      <w:tr w14:paraId="3087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3" w:type="pct"/>
            <w:gridSpan w:val="2"/>
            <w:noWrap w:val="0"/>
            <w:vAlign w:val="center"/>
          </w:tcPr>
          <w:p w14:paraId="75C8EF37">
            <w:pPr>
              <w:spacing w:line="300" w:lineRule="exact"/>
              <w:rPr>
                <w:color w:val="auto"/>
                <w:kern w:val="0"/>
                <w:sz w:val="24"/>
                <w:szCs w:val="24"/>
                <w:highlight w:val="none"/>
              </w:rPr>
            </w:pPr>
            <w:r>
              <w:rPr>
                <w:color w:val="auto"/>
                <w:kern w:val="0"/>
                <w:sz w:val="24"/>
                <w:szCs w:val="24"/>
                <w:highlight w:val="none"/>
              </w:rPr>
              <w:t>自评结论</w:t>
            </w:r>
          </w:p>
        </w:tc>
        <w:tc>
          <w:tcPr>
            <w:tcW w:w="745" w:type="pct"/>
            <w:noWrap w:val="0"/>
            <w:vAlign w:val="top"/>
          </w:tcPr>
          <w:p w14:paraId="5C22E34A">
            <w:pPr>
              <w:spacing w:line="300" w:lineRule="exact"/>
              <w:jc w:val="center"/>
              <w:rPr>
                <w:color w:val="auto"/>
                <w:kern w:val="0"/>
                <w:sz w:val="20"/>
                <w:szCs w:val="21"/>
                <w:highlight w:val="none"/>
              </w:rPr>
            </w:pPr>
          </w:p>
        </w:tc>
        <w:tc>
          <w:tcPr>
            <w:tcW w:w="646" w:type="pct"/>
            <w:noWrap w:val="0"/>
            <w:vAlign w:val="top"/>
          </w:tcPr>
          <w:p w14:paraId="64FC2D8A">
            <w:pPr>
              <w:spacing w:line="300" w:lineRule="exact"/>
              <w:jc w:val="center"/>
              <w:rPr>
                <w:color w:val="auto"/>
                <w:kern w:val="0"/>
                <w:sz w:val="20"/>
                <w:szCs w:val="21"/>
                <w:highlight w:val="none"/>
              </w:rPr>
            </w:pPr>
          </w:p>
        </w:tc>
        <w:tc>
          <w:tcPr>
            <w:tcW w:w="805" w:type="pct"/>
            <w:noWrap w:val="0"/>
            <w:vAlign w:val="center"/>
          </w:tcPr>
          <w:p w14:paraId="5090FE29">
            <w:pPr>
              <w:spacing w:line="300" w:lineRule="exact"/>
              <w:jc w:val="center"/>
              <w:rPr>
                <w:color w:val="auto"/>
                <w:kern w:val="0"/>
                <w:sz w:val="20"/>
                <w:szCs w:val="21"/>
                <w:highlight w:val="none"/>
              </w:rPr>
            </w:pPr>
          </w:p>
        </w:tc>
      </w:tr>
    </w:tbl>
    <w:p w14:paraId="6629CB2D">
      <w:pPr>
        <w:spacing w:line="440" w:lineRule="exact"/>
        <w:rPr>
          <w:rFonts w:ascii="Times New Roman" w:hAnsi="Times New Roman"/>
          <w:color w:val="auto"/>
          <w:szCs w:val="21"/>
          <w:highlight w:val="none"/>
        </w:rPr>
      </w:pPr>
      <w:r>
        <w:rPr>
          <w:rFonts w:ascii="Times New Roman" w:hAnsi="Times New Roman"/>
          <w:color w:val="auto"/>
          <w:szCs w:val="21"/>
          <w:highlight w:val="none"/>
        </w:rPr>
        <w:t>说明：</w:t>
      </w:r>
    </w:p>
    <w:p w14:paraId="4AC0F9F7">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0384056A">
      <w:pPr>
        <w:spacing w:line="440" w:lineRule="exact"/>
        <w:rPr>
          <w:rFonts w:ascii="Times New Roman" w:hAnsi="Times New Roman"/>
          <w:color w:val="auto"/>
          <w:sz w:val="24"/>
          <w:szCs w:val="24"/>
          <w:highlight w:val="none"/>
        </w:rPr>
      </w:pPr>
    </w:p>
    <w:p w14:paraId="7263EAA5">
      <w:pPr>
        <w:spacing w:line="440" w:lineRule="exact"/>
        <w:rPr>
          <w:rFonts w:ascii="Times New Roman" w:hAnsi="Times New Roman"/>
          <w:color w:val="auto"/>
          <w:sz w:val="24"/>
          <w:szCs w:val="24"/>
          <w:highlight w:val="none"/>
        </w:rPr>
      </w:pPr>
    </w:p>
    <w:p w14:paraId="73957D9B">
      <w:pPr>
        <w:spacing w:line="440" w:lineRule="exact"/>
        <w:rPr>
          <w:rFonts w:ascii="Times New Roman" w:hAnsi="Times New Roman"/>
          <w:color w:val="auto"/>
          <w:sz w:val="24"/>
          <w:szCs w:val="24"/>
          <w:highlight w:val="none"/>
        </w:rPr>
      </w:pPr>
    </w:p>
    <w:p w14:paraId="34CDDE34">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5CCB488A">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43A345D0">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五</w:t>
      </w:r>
    </w:p>
    <w:p w14:paraId="3DF5D8E2">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技术</w:t>
      </w:r>
      <w:r>
        <w:rPr>
          <w:rFonts w:hint="eastAsia" w:ascii="Times New Roman" w:hAnsi="Times New Roman" w:eastAsia="方正小标宋简体"/>
          <w:color w:val="auto"/>
          <w:sz w:val="40"/>
          <w:szCs w:val="40"/>
          <w:highlight w:val="none"/>
        </w:rPr>
        <w:t>、服务</w:t>
      </w:r>
      <w:r>
        <w:rPr>
          <w:rFonts w:ascii="Times New Roman" w:hAnsi="Times New Roman" w:eastAsia="方正小标宋简体"/>
          <w:color w:val="auto"/>
          <w:sz w:val="40"/>
          <w:szCs w:val="40"/>
          <w:highlight w:val="none"/>
        </w:rPr>
        <w:t>响应、偏离情况说明表</w:t>
      </w:r>
    </w:p>
    <w:p w14:paraId="1008B0EF">
      <w:pPr>
        <w:spacing w:line="520" w:lineRule="exact"/>
        <w:jc w:val="center"/>
        <w:rPr>
          <w:rFonts w:ascii="Times New Roman" w:hAnsi="Times New Roman" w:eastAsia="方正小标宋简体"/>
          <w:color w:val="auto"/>
          <w:sz w:val="40"/>
          <w:szCs w:val="40"/>
          <w:highlight w:val="none"/>
        </w:rPr>
      </w:pPr>
    </w:p>
    <w:p w14:paraId="320048CF">
      <w:pPr>
        <w:spacing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237835A5">
      <w:pPr>
        <w:spacing w:afterLines="50" w:line="440" w:lineRule="exact"/>
        <w:rPr>
          <w:rFonts w:ascii="Times New Roman" w:hAnsi="Times New Roman"/>
          <w:bCs/>
          <w:color w:val="auto"/>
          <w:sz w:val="24"/>
          <w:szCs w:val="24"/>
          <w:highlight w:val="none"/>
        </w:rPr>
      </w:pPr>
      <w:r>
        <w:rPr>
          <w:rFonts w:ascii="Times New Roman" w:hAnsi="Times New Roman"/>
          <w:color w:val="auto"/>
          <w:sz w:val="24"/>
          <w:szCs w:val="24"/>
          <w:highlight w:val="none"/>
        </w:rPr>
        <w:t>项目名称：</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395"/>
        <w:gridCol w:w="929"/>
        <w:gridCol w:w="1783"/>
      </w:tblGrid>
      <w:tr w14:paraId="773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pct"/>
            <w:noWrap w:val="0"/>
            <w:vAlign w:val="center"/>
          </w:tcPr>
          <w:p w14:paraId="7E1095ED">
            <w:pPr>
              <w:spacing w:line="300" w:lineRule="exact"/>
              <w:jc w:val="center"/>
              <w:rPr>
                <w:rFonts w:eastAsia="黑体"/>
                <w:color w:val="auto"/>
                <w:sz w:val="24"/>
                <w:szCs w:val="24"/>
                <w:highlight w:val="none"/>
              </w:rPr>
            </w:pPr>
            <w:r>
              <w:rPr>
                <w:rFonts w:eastAsia="黑体"/>
                <w:color w:val="auto"/>
                <w:sz w:val="24"/>
                <w:szCs w:val="24"/>
                <w:highlight w:val="none"/>
              </w:rPr>
              <w:t>磋商文件要求</w:t>
            </w:r>
          </w:p>
        </w:tc>
        <w:tc>
          <w:tcPr>
            <w:tcW w:w="751" w:type="pct"/>
            <w:noWrap w:val="0"/>
            <w:vAlign w:val="center"/>
          </w:tcPr>
          <w:p w14:paraId="47C5DECA">
            <w:pPr>
              <w:spacing w:line="300" w:lineRule="exact"/>
              <w:ind w:left="-109" w:leftChars="-52" w:right="-107" w:rightChars="-51"/>
              <w:jc w:val="center"/>
              <w:rPr>
                <w:rFonts w:eastAsia="黑体"/>
                <w:color w:val="auto"/>
                <w:sz w:val="24"/>
                <w:szCs w:val="24"/>
                <w:highlight w:val="none"/>
              </w:rPr>
            </w:pPr>
            <w:r>
              <w:rPr>
                <w:rFonts w:eastAsia="黑体"/>
                <w:color w:val="auto"/>
                <w:sz w:val="24"/>
                <w:szCs w:val="24"/>
                <w:highlight w:val="none"/>
              </w:rPr>
              <w:t>响应文件响应情况</w:t>
            </w:r>
          </w:p>
        </w:tc>
        <w:tc>
          <w:tcPr>
            <w:tcW w:w="500" w:type="pct"/>
            <w:noWrap w:val="0"/>
            <w:vAlign w:val="center"/>
          </w:tcPr>
          <w:p w14:paraId="1F00014A">
            <w:pPr>
              <w:spacing w:line="300" w:lineRule="exact"/>
              <w:jc w:val="center"/>
              <w:rPr>
                <w:rFonts w:eastAsia="黑体"/>
                <w:color w:val="auto"/>
                <w:sz w:val="24"/>
                <w:szCs w:val="24"/>
                <w:highlight w:val="none"/>
              </w:rPr>
            </w:pPr>
            <w:r>
              <w:rPr>
                <w:rFonts w:eastAsia="黑体"/>
                <w:color w:val="auto"/>
                <w:sz w:val="24"/>
                <w:szCs w:val="24"/>
                <w:highlight w:val="none"/>
              </w:rPr>
              <w:t>偏离说明</w:t>
            </w:r>
          </w:p>
        </w:tc>
        <w:tc>
          <w:tcPr>
            <w:tcW w:w="960" w:type="pct"/>
            <w:noWrap w:val="0"/>
            <w:vAlign w:val="center"/>
          </w:tcPr>
          <w:p w14:paraId="6603CC77">
            <w:pPr>
              <w:spacing w:line="300" w:lineRule="exact"/>
              <w:jc w:val="center"/>
              <w:rPr>
                <w:rFonts w:eastAsia="黑体"/>
                <w:color w:val="auto"/>
                <w:sz w:val="24"/>
                <w:szCs w:val="24"/>
                <w:highlight w:val="none"/>
              </w:rPr>
            </w:pPr>
            <w:r>
              <w:rPr>
                <w:rFonts w:eastAsia="黑体"/>
                <w:color w:val="auto"/>
                <w:sz w:val="24"/>
                <w:szCs w:val="24"/>
                <w:highlight w:val="none"/>
              </w:rPr>
              <w:t>备注</w:t>
            </w:r>
          </w:p>
        </w:tc>
      </w:tr>
      <w:tr w14:paraId="77A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8983344">
            <w:pPr>
              <w:spacing w:line="300" w:lineRule="exact"/>
              <w:rPr>
                <w:color w:val="auto"/>
                <w:highlight w:val="none"/>
              </w:rPr>
            </w:pPr>
          </w:p>
        </w:tc>
        <w:tc>
          <w:tcPr>
            <w:tcW w:w="751" w:type="pct"/>
            <w:noWrap w:val="0"/>
            <w:vAlign w:val="top"/>
          </w:tcPr>
          <w:p w14:paraId="0A3A0497">
            <w:pPr>
              <w:spacing w:line="300" w:lineRule="exact"/>
              <w:rPr>
                <w:color w:val="auto"/>
                <w:sz w:val="24"/>
                <w:szCs w:val="24"/>
                <w:highlight w:val="none"/>
              </w:rPr>
            </w:pPr>
          </w:p>
        </w:tc>
        <w:tc>
          <w:tcPr>
            <w:tcW w:w="500" w:type="pct"/>
            <w:noWrap w:val="0"/>
            <w:vAlign w:val="top"/>
          </w:tcPr>
          <w:p w14:paraId="0709BA40">
            <w:pPr>
              <w:spacing w:line="300" w:lineRule="exact"/>
              <w:rPr>
                <w:color w:val="auto"/>
                <w:sz w:val="24"/>
                <w:szCs w:val="24"/>
                <w:highlight w:val="none"/>
              </w:rPr>
            </w:pPr>
          </w:p>
        </w:tc>
        <w:tc>
          <w:tcPr>
            <w:tcW w:w="960" w:type="pct"/>
            <w:noWrap w:val="0"/>
            <w:vAlign w:val="top"/>
          </w:tcPr>
          <w:p w14:paraId="12386DB0">
            <w:pPr>
              <w:spacing w:line="300" w:lineRule="exact"/>
              <w:rPr>
                <w:color w:val="auto"/>
                <w:sz w:val="24"/>
                <w:szCs w:val="24"/>
                <w:highlight w:val="none"/>
              </w:rPr>
            </w:pPr>
          </w:p>
        </w:tc>
      </w:tr>
      <w:tr w14:paraId="7BE2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B5DE609">
            <w:pPr>
              <w:spacing w:line="300" w:lineRule="exact"/>
              <w:rPr>
                <w:color w:val="auto"/>
                <w:highlight w:val="none"/>
              </w:rPr>
            </w:pPr>
          </w:p>
        </w:tc>
        <w:tc>
          <w:tcPr>
            <w:tcW w:w="751" w:type="pct"/>
            <w:noWrap w:val="0"/>
            <w:vAlign w:val="top"/>
          </w:tcPr>
          <w:p w14:paraId="206AD452">
            <w:pPr>
              <w:spacing w:line="300" w:lineRule="exact"/>
              <w:rPr>
                <w:color w:val="auto"/>
                <w:sz w:val="24"/>
                <w:szCs w:val="24"/>
                <w:highlight w:val="none"/>
              </w:rPr>
            </w:pPr>
          </w:p>
        </w:tc>
        <w:tc>
          <w:tcPr>
            <w:tcW w:w="500" w:type="pct"/>
            <w:noWrap w:val="0"/>
            <w:vAlign w:val="top"/>
          </w:tcPr>
          <w:p w14:paraId="11910D31">
            <w:pPr>
              <w:spacing w:line="300" w:lineRule="exact"/>
              <w:rPr>
                <w:color w:val="auto"/>
                <w:sz w:val="24"/>
                <w:szCs w:val="24"/>
                <w:highlight w:val="none"/>
              </w:rPr>
            </w:pPr>
          </w:p>
        </w:tc>
        <w:tc>
          <w:tcPr>
            <w:tcW w:w="960" w:type="pct"/>
            <w:noWrap w:val="0"/>
            <w:vAlign w:val="top"/>
          </w:tcPr>
          <w:p w14:paraId="38D5C1C9">
            <w:pPr>
              <w:spacing w:line="300" w:lineRule="exact"/>
              <w:rPr>
                <w:color w:val="auto"/>
                <w:sz w:val="24"/>
                <w:szCs w:val="24"/>
                <w:highlight w:val="none"/>
              </w:rPr>
            </w:pPr>
          </w:p>
        </w:tc>
      </w:tr>
      <w:tr w14:paraId="0E79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839F06D">
            <w:pPr>
              <w:spacing w:line="300" w:lineRule="exact"/>
              <w:rPr>
                <w:color w:val="auto"/>
                <w:highlight w:val="none"/>
              </w:rPr>
            </w:pPr>
          </w:p>
        </w:tc>
        <w:tc>
          <w:tcPr>
            <w:tcW w:w="751" w:type="pct"/>
            <w:noWrap w:val="0"/>
            <w:vAlign w:val="top"/>
          </w:tcPr>
          <w:p w14:paraId="1DB0C465">
            <w:pPr>
              <w:spacing w:line="300" w:lineRule="exact"/>
              <w:rPr>
                <w:color w:val="auto"/>
                <w:sz w:val="24"/>
                <w:szCs w:val="24"/>
                <w:highlight w:val="none"/>
              </w:rPr>
            </w:pPr>
          </w:p>
        </w:tc>
        <w:tc>
          <w:tcPr>
            <w:tcW w:w="500" w:type="pct"/>
            <w:noWrap w:val="0"/>
            <w:vAlign w:val="top"/>
          </w:tcPr>
          <w:p w14:paraId="03C0EFCD">
            <w:pPr>
              <w:spacing w:line="300" w:lineRule="exact"/>
              <w:rPr>
                <w:color w:val="auto"/>
                <w:sz w:val="24"/>
                <w:szCs w:val="24"/>
                <w:highlight w:val="none"/>
              </w:rPr>
            </w:pPr>
          </w:p>
        </w:tc>
        <w:tc>
          <w:tcPr>
            <w:tcW w:w="960" w:type="pct"/>
            <w:noWrap w:val="0"/>
            <w:vAlign w:val="top"/>
          </w:tcPr>
          <w:p w14:paraId="1A73DC89">
            <w:pPr>
              <w:spacing w:line="300" w:lineRule="exact"/>
              <w:rPr>
                <w:color w:val="auto"/>
                <w:sz w:val="24"/>
                <w:szCs w:val="24"/>
                <w:highlight w:val="none"/>
              </w:rPr>
            </w:pPr>
          </w:p>
        </w:tc>
      </w:tr>
      <w:tr w14:paraId="04FE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AA307AD">
            <w:pPr>
              <w:spacing w:line="300" w:lineRule="exact"/>
              <w:rPr>
                <w:color w:val="auto"/>
                <w:highlight w:val="none"/>
              </w:rPr>
            </w:pPr>
          </w:p>
        </w:tc>
        <w:tc>
          <w:tcPr>
            <w:tcW w:w="751" w:type="pct"/>
            <w:noWrap w:val="0"/>
            <w:vAlign w:val="top"/>
          </w:tcPr>
          <w:p w14:paraId="5A8C21B8">
            <w:pPr>
              <w:spacing w:line="300" w:lineRule="exact"/>
              <w:rPr>
                <w:color w:val="auto"/>
                <w:sz w:val="24"/>
                <w:szCs w:val="24"/>
                <w:highlight w:val="none"/>
              </w:rPr>
            </w:pPr>
          </w:p>
        </w:tc>
        <w:tc>
          <w:tcPr>
            <w:tcW w:w="500" w:type="pct"/>
            <w:noWrap w:val="0"/>
            <w:vAlign w:val="top"/>
          </w:tcPr>
          <w:p w14:paraId="0BC330D0">
            <w:pPr>
              <w:spacing w:line="300" w:lineRule="exact"/>
              <w:rPr>
                <w:color w:val="auto"/>
                <w:sz w:val="24"/>
                <w:szCs w:val="24"/>
                <w:highlight w:val="none"/>
              </w:rPr>
            </w:pPr>
          </w:p>
        </w:tc>
        <w:tc>
          <w:tcPr>
            <w:tcW w:w="960" w:type="pct"/>
            <w:noWrap w:val="0"/>
            <w:vAlign w:val="top"/>
          </w:tcPr>
          <w:p w14:paraId="348EC846">
            <w:pPr>
              <w:spacing w:line="300" w:lineRule="exact"/>
              <w:rPr>
                <w:color w:val="auto"/>
                <w:sz w:val="24"/>
                <w:szCs w:val="24"/>
                <w:highlight w:val="none"/>
              </w:rPr>
            </w:pPr>
          </w:p>
        </w:tc>
      </w:tr>
      <w:tr w14:paraId="2624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0AFBE3E">
            <w:pPr>
              <w:spacing w:line="300" w:lineRule="exact"/>
              <w:rPr>
                <w:color w:val="auto"/>
                <w:highlight w:val="none"/>
              </w:rPr>
            </w:pPr>
          </w:p>
        </w:tc>
        <w:tc>
          <w:tcPr>
            <w:tcW w:w="751" w:type="pct"/>
            <w:noWrap w:val="0"/>
            <w:vAlign w:val="top"/>
          </w:tcPr>
          <w:p w14:paraId="4FD906F3">
            <w:pPr>
              <w:spacing w:line="300" w:lineRule="exact"/>
              <w:rPr>
                <w:color w:val="auto"/>
                <w:sz w:val="24"/>
                <w:szCs w:val="24"/>
                <w:highlight w:val="none"/>
              </w:rPr>
            </w:pPr>
          </w:p>
        </w:tc>
        <w:tc>
          <w:tcPr>
            <w:tcW w:w="500" w:type="pct"/>
            <w:noWrap w:val="0"/>
            <w:vAlign w:val="top"/>
          </w:tcPr>
          <w:p w14:paraId="71C0F88A">
            <w:pPr>
              <w:spacing w:line="300" w:lineRule="exact"/>
              <w:rPr>
                <w:color w:val="auto"/>
                <w:sz w:val="24"/>
                <w:szCs w:val="24"/>
                <w:highlight w:val="none"/>
              </w:rPr>
            </w:pPr>
          </w:p>
        </w:tc>
        <w:tc>
          <w:tcPr>
            <w:tcW w:w="960" w:type="pct"/>
            <w:noWrap w:val="0"/>
            <w:vAlign w:val="top"/>
          </w:tcPr>
          <w:p w14:paraId="5D2483CD">
            <w:pPr>
              <w:spacing w:line="300" w:lineRule="exact"/>
              <w:rPr>
                <w:color w:val="auto"/>
                <w:sz w:val="24"/>
                <w:szCs w:val="24"/>
                <w:highlight w:val="none"/>
              </w:rPr>
            </w:pPr>
          </w:p>
        </w:tc>
      </w:tr>
      <w:tr w14:paraId="7A5D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DDC5105">
            <w:pPr>
              <w:spacing w:line="300" w:lineRule="exact"/>
              <w:rPr>
                <w:color w:val="auto"/>
                <w:highlight w:val="none"/>
              </w:rPr>
            </w:pPr>
          </w:p>
        </w:tc>
        <w:tc>
          <w:tcPr>
            <w:tcW w:w="751" w:type="pct"/>
            <w:noWrap w:val="0"/>
            <w:vAlign w:val="top"/>
          </w:tcPr>
          <w:p w14:paraId="6E9305F8">
            <w:pPr>
              <w:spacing w:line="300" w:lineRule="exact"/>
              <w:rPr>
                <w:color w:val="auto"/>
                <w:sz w:val="24"/>
                <w:szCs w:val="24"/>
                <w:highlight w:val="none"/>
              </w:rPr>
            </w:pPr>
          </w:p>
        </w:tc>
        <w:tc>
          <w:tcPr>
            <w:tcW w:w="500" w:type="pct"/>
            <w:noWrap w:val="0"/>
            <w:vAlign w:val="top"/>
          </w:tcPr>
          <w:p w14:paraId="3F986C2C">
            <w:pPr>
              <w:spacing w:line="300" w:lineRule="exact"/>
              <w:rPr>
                <w:color w:val="auto"/>
                <w:sz w:val="24"/>
                <w:szCs w:val="24"/>
                <w:highlight w:val="none"/>
              </w:rPr>
            </w:pPr>
          </w:p>
        </w:tc>
        <w:tc>
          <w:tcPr>
            <w:tcW w:w="960" w:type="pct"/>
            <w:noWrap w:val="0"/>
            <w:vAlign w:val="top"/>
          </w:tcPr>
          <w:p w14:paraId="2F606FAA">
            <w:pPr>
              <w:spacing w:line="300" w:lineRule="exact"/>
              <w:rPr>
                <w:color w:val="auto"/>
                <w:sz w:val="24"/>
                <w:szCs w:val="24"/>
                <w:highlight w:val="none"/>
              </w:rPr>
            </w:pPr>
          </w:p>
        </w:tc>
      </w:tr>
      <w:tr w14:paraId="1C9A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409F706">
            <w:pPr>
              <w:spacing w:line="300" w:lineRule="exact"/>
              <w:rPr>
                <w:color w:val="auto"/>
                <w:highlight w:val="none"/>
              </w:rPr>
            </w:pPr>
          </w:p>
        </w:tc>
        <w:tc>
          <w:tcPr>
            <w:tcW w:w="751" w:type="pct"/>
            <w:noWrap w:val="0"/>
            <w:vAlign w:val="top"/>
          </w:tcPr>
          <w:p w14:paraId="50686F86">
            <w:pPr>
              <w:spacing w:line="300" w:lineRule="exact"/>
              <w:rPr>
                <w:color w:val="auto"/>
                <w:sz w:val="24"/>
                <w:szCs w:val="24"/>
                <w:highlight w:val="none"/>
              </w:rPr>
            </w:pPr>
          </w:p>
        </w:tc>
        <w:tc>
          <w:tcPr>
            <w:tcW w:w="500" w:type="pct"/>
            <w:noWrap w:val="0"/>
            <w:vAlign w:val="top"/>
          </w:tcPr>
          <w:p w14:paraId="7FD2B519">
            <w:pPr>
              <w:spacing w:line="300" w:lineRule="exact"/>
              <w:rPr>
                <w:color w:val="auto"/>
                <w:sz w:val="24"/>
                <w:szCs w:val="24"/>
                <w:highlight w:val="none"/>
              </w:rPr>
            </w:pPr>
          </w:p>
        </w:tc>
        <w:tc>
          <w:tcPr>
            <w:tcW w:w="960" w:type="pct"/>
            <w:noWrap w:val="0"/>
            <w:vAlign w:val="top"/>
          </w:tcPr>
          <w:p w14:paraId="2C845FB1">
            <w:pPr>
              <w:spacing w:line="300" w:lineRule="exact"/>
              <w:rPr>
                <w:color w:val="auto"/>
                <w:sz w:val="24"/>
                <w:szCs w:val="24"/>
                <w:highlight w:val="none"/>
              </w:rPr>
            </w:pPr>
          </w:p>
        </w:tc>
      </w:tr>
      <w:tr w14:paraId="0AA6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5FD8A26">
            <w:pPr>
              <w:spacing w:line="300" w:lineRule="exact"/>
              <w:rPr>
                <w:color w:val="auto"/>
                <w:highlight w:val="none"/>
              </w:rPr>
            </w:pPr>
          </w:p>
        </w:tc>
        <w:tc>
          <w:tcPr>
            <w:tcW w:w="751" w:type="pct"/>
            <w:noWrap w:val="0"/>
            <w:vAlign w:val="top"/>
          </w:tcPr>
          <w:p w14:paraId="5C5149CB">
            <w:pPr>
              <w:spacing w:line="300" w:lineRule="exact"/>
              <w:rPr>
                <w:color w:val="auto"/>
                <w:sz w:val="24"/>
                <w:szCs w:val="24"/>
                <w:highlight w:val="none"/>
              </w:rPr>
            </w:pPr>
          </w:p>
        </w:tc>
        <w:tc>
          <w:tcPr>
            <w:tcW w:w="500" w:type="pct"/>
            <w:noWrap w:val="0"/>
            <w:vAlign w:val="top"/>
          </w:tcPr>
          <w:p w14:paraId="0F031D86">
            <w:pPr>
              <w:spacing w:line="300" w:lineRule="exact"/>
              <w:rPr>
                <w:color w:val="auto"/>
                <w:sz w:val="24"/>
                <w:szCs w:val="24"/>
                <w:highlight w:val="none"/>
              </w:rPr>
            </w:pPr>
          </w:p>
        </w:tc>
        <w:tc>
          <w:tcPr>
            <w:tcW w:w="960" w:type="pct"/>
            <w:noWrap w:val="0"/>
            <w:vAlign w:val="top"/>
          </w:tcPr>
          <w:p w14:paraId="04089959">
            <w:pPr>
              <w:spacing w:line="300" w:lineRule="exact"/>
              <w:rPr>
                <w:color w:val="auto"/>
                <w:sz w:val="24"/>
                <w:szCs w:val="24"/>
                <w:highlight w:val="none"/>
              </w:rPr>
            </w:pPr>
          </w:p>
        </w:tc>
      </w:tr>
      <w:tr w14:paraId="0F1A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4D3A37D">
            <w:pPr>
              <w:spacing w:line="300" w:lineRule="exact"/>
              <w:rPr>
                <w:color w:val="auto"/>
                <w:highlight w:val="none"/>
              </w:rPr>
            </w:pPr>
          </w:p>
        </w:tc>
        <w:tc>
          <w:tcPr>
            <w:tcW w:w="751" w:type="pct"/>
            <w:noWrap w:val="0"/>
            <w:vAlign w:val="top"/>
          </w:tcPr>
          <w:p w14:paraId="2074F614">
            <w:pPr>
              <w:spacing w:line="300" w:lineRule="exact"/>
              <w:rPr>
                <w:color w:val="auto"/>
                <w:sz w:val="24"/>
                <w:szCs w:val="24"/>
                <w:highlight w:val="none"/>
              </w:rPr>
            </w:pPr>
          </w:p>
        </w:tc>
        <w:tc>
          <w:tcPr>
            <w:tcW w:w="500" w:type="pct"/>
            <w:noWrap w:val="0"/>
            <w:vAlign w:val="top"/>
          </w:tcPr>
          <w:p w14:paraId="0D1B563E">
            <w:pPr>
              <w:spacing w:line="300" w:lineRule="exact"/>
              <w:rPr>
                <w:color w:val="auto"/>
                <w:sz w:val="24"/>
                <w:szCs w:val="24"/>
                <w:highlight w:val="none"/>
              </w:rPr>
            </w:pPr>
          </w:p>
        </w:tc>
        <w:tc>
          <w:tcPr>
            <w:tcW w:w="960" w:type="pct"/>
            <w:noWrap w:val="0"/>
            <w:vAlign w:val="top"/>
          </w:tcPr>
          <w:p w14:paraId="6C4ADF7B">
            <w:pPr>
              <w:spacing w:line="300" w:lineRule="exact"/>
              <w:rPr>
                <w:color w:val="auto"/>
                <w:sz w:val="24"/>
                <w:szCs w:val="24"/>
                <w:highlight w:val="none"/>
              </w:rPr>
            </w:pPr>
          </w:p>
        </w:tc>
      </w:tr>
      <w:tr w14:paraId="02BC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F8B98E5">
            <w:pPr>
              <w:spacing w:line="300" w:lineRule="exact"/>
              <w:rPr>
                <w:color w:val="auto"/>
                <w:highlight w:val="none"/>
              </w:rPr>
            </w:pPr>
          </w:p>
        </w:tc>
        <w:tc>
          <w:tcPr>
            <w:tcW w:w="751" w:type="pct"/>
            <w:noWrap w:val="0"/>
            <w:vAlign w:val="top"/>
          </w:tcPr>
          <w:p w14:paraId="06CC8B25">
            <w:pPr>
              <w:spacing w:line="300" w:lineRule="exact"/>
              <w:rPr>
                <w:color w:val="auto"/>
                <w:sz w:val="24"/>
                <w:szCs w:val="24"/>
                <w:highlight w:val="none"/>
              </w:rPr>
            </w:pPr>
          </w:p>
        </w:tc>
        <w:tc>
          <w:tcPr>
            <w:tcW w:w="500" w:type="pct"/>
            <w:noWrap w:val="0"/>
            <w:vAlign w:val="top"/>
          </w:tcPr>
          <w:p w14:paraId="705B7700">
            <w:pPr>
              <w:spacing w:line="300" w:lineRule="exact"/>
              <w:rPr>
                <w:color w:val="auto"/>
                <w:sz w:val="24"/>
                <w:szCs w:val="24"/>
                <w:highlight w:val="none"/>
              </w:rPr>
            </w:pPr>
          </w:p>
        </w:tc>
        <w:tc>
          <w:tcPr>
            <w:tcW w:w="960" w:type="pct"/>
            <w:noWrap w:val="0"/>
            <w:vAlign w:val="top"/>
          </w:tcPr>
          <w:p w14:paraId="5E6EE7C9">
            <w:pPr>
              <w:spacing w:line="300" w:lineRule="exact"/>
              <w:rPr>
                <w:color w:val="auto"/>
                <w:sz w:val="24"/>
                <w:szCs w:val="24"/>
                <w:highlight w:val="none"/>
              </w:rPr>
            </w:pPr>
          </w:p>
        </w:tc>
      </w:tr>
      <w:tr w14:paraId="0262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F64C9CF">
            <w:pPr>
              <w:spacing w:line="300" w:lineRule="exact"/>
              <w:rPr>
                <w:color w:val="auto"/>
                <w:highlight w:val="none"/>
              </w:rPr>
            </w:pPr>
          </w:p>
        </w:tc>
        <w:tc>
          <w:tcPr>
            <w:tcW w:w="751" w:type="pct"/>
            <w:noWrap w:val="0"/>
            <w:vAlign w:val="top"/>
          </w:tcPr>
          <w:p w14:paraId="2AA7FE2A">
            <w:pPr>
              <w:spacing w:line="300" w:lineRule="exact"/>
              <w:rPr>
                <w:color w:val="auto"/>
                <w:sz w:val="24"/>
                <w:szCs w:val="24"/>
                <w:highlight w:val="none"/>
              </w:rPr>
            </w:pPr>
          </w:p>
        </w:tc>
        <w:tc>
          <w:tcPr>
            <w:tcW w:w="500" w:type="pct"/>
            <w:noWrap w:val="0"/>
            <w:vAlign w:val="top"/>
          </w:tcPr>
          <w:p w14:paraId="1D550E57">
            <w:pPr>
              <w:spacing w:line="300" w:lineRule="exact"/>
              <w:rPr>
                <w:color w:val="auto"/>
                <w:sz w:val="24"/>
                <w:szCs w:val="24"/>
                <w:highlight w:val="none"/>
              </w:rPr>
            </w:pPr>
          </w:p>
        </w:tc>
        <w:tc>
          <w:tcPr>
            <w:tcW w:w="960" w:type="pct"/>
            <w:noWrap w:val="0"/>
            <w:vAlign w:val="top"/>
          </w:tcPr>
          <w:p w14:paraId="14F7DBFF">
            <w:pPr>
              <w:spacing w:line="300" w:lineRule="exact"/>
              <w:rPr>
                <w:color w:val="auto"/>
                <w:sz w:val="24"/>
                <w:szCs w:val="24"/>
                <w:highlight w:val="none"/>
              </w:rPr>
            </w:pPr>
          </w:p>
        </w:tc>
      </w:tr>
      <w:tr w14:paraId="065A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640CD70">
            <w:pPr>
              <w:spacing w:line="300" w:lineRule="exact"/>
              <w:rPr>
                <w:color w:val="auto"/>
                <w:highlight w:val="none"/>
              </w:rPr>
            </w:pPr>
          </w:p>
        </w:tc>
        <w:tc>
          <w:tcPr>
            <w:tcW w:w="751" w:type="pct"/>
            <w:noWrap w:val="0"/>
            <w:vAlign w:val="top"/>
          </w:tcPr>
          <w:p w14:paraId="31D05581">
            <w:pPr>
              <w:spacing w:line="300" w:lineRule="exact"/>
              <w:rPr>
                <w:color w:val="auto"/>
                <w:sz w:val="24"/>
                <w:szCs w:val="24"/>
                <w:highlight w:val="none"/>
              </w:rPr>
            </w:pPr>
          </w:p>
        </w:tc>
        <w:tc>
          <w:tcPr>
            <w:tcW w:w="500" w:type="pct"/>
            <w:noWrap w:val="0"/>
            <w:vAlign w:val="top"/>
          </w:tcPr>
          <w:p w14:paraId="32E942B0">
            <w:pPr>
              <w:spacing w:line="300" w:lineRule="exact"/>
              <w:rPr>
                <w:color w:val="auto"/>
                <w:sz w:val="24"/>
                <w:szCs w:val="24"/>
                <w:highlight w:val="none"/>
              </w:rPr>
            </w:pPr>
          </w:p>
        </w:tc>
        <w:tc>
          <w:tcPr>
            <w:tcW w:w="960" w:type="pct"/>
            <w:noWrap w:val="0"/>
            <w:vAlign w:val="top"/>
          </w:tcPr>
          <w:p w14:paraId="279FD258">
            <w:pPr>
              <w:spacing w:line="300" w:lineRule="exact"/>
              <w:rPr>
                <w:color w:val="auto"/>
                <w:sz w:val="24"/>
                <w:szCs w:val="24"/>
                <w:highlight w:val="none"/>
              </w:rPr>
            </w:pPr>
          </w:p>
        </w:tc>
      </w:tr>
      <w:tr w14:paraId="73A0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FADB602">
            <w:pPr>
              <w:spacing w:line="300" w:lineRule="exact"/>
              <w:rPr>
                <w:color w:val="auto"/>
                <w:sz w:val="24"/>
                <w:szCs w:val="24"/>
                <w:highlight w:val="none"/>
              </w:rPr>
            </w:pPr>
            <w:r>
              <w:rPr>
                <w:color w:val="auto"/>
                <w:sz w:val="24"/>
                <w:szCs w:val="24"/>
                <w:highlight w:val="none"/>
              </w:rPr>
              <w:t>自评结论</w:t>
            </w:r>
          </w:p>
        </w:tc>
        <w:tc>
          <w:tcPr>
            <w:tcW w:w="751" w:type="pct"/>
            <w:noWrap w:val="0"/>
            <w:vAlign w:val="top"/>
          </w:tcPr>
          <w:p w14:paraId="4807C57A">
            <w:pPr>
              <w:spacing w:line="300" w:lineRule="exact"/>
              <w:rPr>
                <w:color w:val="auto"/>
                <w:sz w:val="24"/>
                <w:szCs w:val="24"/>
                <w:highlight w:val="none"/>
              </w:rPr>
            </w:pPr>
          </w:p>
        </w:tc>
        <w:tc>
          <w:tcPr>
            <w:tcW w:w="500" w:type="pct"/>
            <w:noWrap w:val="0"/>
            <w:vAlign w:val="top"/>
          </w:tcPr>
          <w:p w14:paraId="2B15F962">
            <w:pPr>
              <w:spacing w:line="300" w:lineRule="exact"/>
              <w:rPr>
                <w:color w:val="auto"/>
                <w:sz w:val="24"/>
                <w:szCs w:val="24"/>
                <w:highlight w:val="none"/>
              </w:rPr>
            </w:pPr>
          </w:p>
        </w:tc>
        <w:tc>
          <w:tcPr>
            <w:tcW w:w="960" w:type="pct"/>
            <w:noWrap w:val="0"/>
            <w:vAlign w:val="top"/>
          </w:tcPr>
          <w:p w14:paraId="7F167F39">
            <w:pPr>
              <w:spacing w:line="300" w:lineRule="exact"/>
              <w:rPr>
                <w:color w:val="auto"/>
                <w:sz w:val="24"/>
                <w:szCs w:val="24"/>
                <w:highlight w:val="none"/>
              </w:rPr>
            </w:pPr>
          </w:p>
        </w:tc>
      </w:tr>
    </w:tbl>
    <w:p w14:paraId="11F69780">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43EB44BA">
      <w:pPr>
        <w:spacing w:line="440" w:lineRule="exact"/>
        <w:ind w:firstLine="420" w:firstLineChars="200"/>
        <w:rPr>
          <w:rFonts w:ascii="Times New Roman" w:hAnsi="Times New Roman"/>
          <w:b/>
          <w:bCs/>
          <w:color w:val="auto"/>
          <w:sz w:val="24"/>
          <w:szCs w:val="24"/>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00280A37">
      <w:pPr>
        <w:spacing w:line="500" w:lineRule="exact"/>
        <w:rPr>
          <w:rFonts w:ascii="Times New Roman" w:hAnsi="Times New Roman"/>
          <w:color w:val="auto"/>
          <w:sz w:val="24"/>
          <w:szCs w:val="24"/>
          <w:highlight w:val="none"/>
        </w:rPr>
      </w:pPr>
    </w:p>
    <w:p w14:paraId="6F8715B2">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F79A3CC">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0E0C1E5B">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六</w:t>
      </w:r>
    </w:p>
    <w:p w14:paraId="214DA2CF">
      <w:pPr>
        <w:spacing w:beforeLines="50" w:line="520" w:lineRule="exact"/>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rPr>
        <w:t>商务</w:t>
      </w:r>
      <w:r>
        <w:rPr>
          <w:rFonts w:ascii="Times New Roman" w:hAnsi="Times New Roman" w:eastAsia="方正小标宋简体"/>
          <w:bCs/>
          <w:color w:val="auto"/>
          <w:sz w:val="40"/>
          <w:szCs w:val="40"/>
          <w:highlight w:val="none"/>
        </w:rPr>
        <w:t>响应、偏离情况说明表</w:t>
      </w:r>
    </w:p>
    <w:p w14:paraId="5CBFF046">
      <w:pPr>
        <w:adjustRightInd w:val="0"/>
        <w:snapToGrid w:val="0"/>
        <w:spacing w:line="520" w:lineRule="exact"/>
        <w:jc w:val="center"/>
        <w:outlineLvl w:val="0"/>
        <w:rPr>
          <w:rFonts w:ascii="Times New Roman" w:hAnsi="Times New Roman"/>
          <w:color w:val="auto"/>
          <w:sz w:val="32"/>
          <w:szCs w:val="32"/>
          <w:highlight w:val="none"/>
        </w:rPr>
      </w:pPr>
    </w:p>
    <w:p w14:paraId="26618936">
      <w:pPr>
        <w:spacing w:afterLines="50"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19BFA5CB">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251"/>
        <w:gridCol w:w="2478"/>
        <w:gridCol w:w="1397"/>
        <w:gridCol w:w="2012"/>
      </w:tblGrid>
      <w:tr w14:paraId="2CCF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08" w:type="pct"/>
            <w:noWrap w:val="0"/>
            <w:vAlign w:val="center"/>
          </w:tcPr>
          <w:p w14:paraId="07E97D43">
            <w:pPr>
              <w:rPr>
                <w:rFonts w:eastAsia="黑体"/>
                <w:bCs/>
                <w:color w:val="auto"/>
                <w:sz w:val="24"/>
                <w:highlight w:val="none"/>
              </w:rPr>
            </w:pPr>
            <w:r>
              <w:rPr>
                <w:rFonts w:eastAsia="黑体"/>
                <w:bCs/>
                <w:color w:val="auto"/>
                <w:sz w:val="24"/>
                <w:highlight w:val="none"/>
              </w:rPr>
              <w:t>序号</w:t>
            </w:r>
          </w:p>
        </w:tc>
        <w:tc>
          <w:tcPr>
            <w:tcW w:w="1270" w:type="pct"/>
            <w:noWrap w:val="0"/>
            <w:vAlign w:val="center"/>
          </w:tcPr>
          <w:p w14:paraId="30BEF7E4">
            <w:pPr>
              <w:ind w:right="-80" w:rightChars="-38"/>
              <w:jc w:val="center"/>
              <w:rPr>
                <w:rFonts w:eastAsia="黑体"/>
                <w:bCs/>
                <w:color w:val="auto"/>
                <w:sz w:val="24"/>
                <w:highlight w:val="none"/>
              </w:rPr>
            </w:pPr>
            <w:r>
              <w:rPr>
                <w:rFonts w:eastAsia="黑体"/>
                <w:bCs/>
                <w:color w:val="auto"/>
                <w:sz w:val="24"/>
                <w:highlight w:val="none"/>
              </w:rPr>
              <w:t>磋商文件要求部分</w:t>
            </w:r>
          </w:p>
        </w:tc>
        <w:tc>
          <w:tcPr>
            <w:tcW w:w="1398" w:type="pct"/>
            <w:noWrap w:val="0"/>
            <w:vAlign w:val="center"/>
          </w:tcPr>
          <w:p w14:paraId="7F1F561F">
            <w:pPr>
              <w:ind w:left="28" w:leftChars="-38" w:right="-80" w:rightChars="-38" w:hanging="108" w:hangingChars="45"/>
              <w:jc w:val="center"/>
              <w:rPr>
                <w:rFonts w:eastAsia="黑体"/>
                <w:bCs/>
                <w:color w:val="auto"/>
                <w:sz w:val="24"/>
                <w:highlight w:val="none"/>
              </w:rPr>
            </w:pPr>
            <w:r>
              <w:rPr>
                <w:rFonts w:eastAsia="黑体"/>
                <w:bCs/>
                <w:color w:val="auto"/>
                <w:sz w:val="24"/>
                <w:highlight w:val="none"/>
              </w:rPr>
              <w:t>响应文件的响应部分</w:t>
            </w:r>
          </w:p>
        </w:tc>
        <w:tc>
          <w:tcPr>
            <w:tcW w:w="788" w:type="pct"/>
            <w:noWrap w:val="0"/>
            <w:vAlign w:val="center"/>
          </w:tcPr>
          <w:p w14:paraId="57C86804">
            <w:pPr>
              <w:jc w:val="center"/>
              <w:rPr>
                <w:rFonts w:eastAsia="黑体"/>
                <w:bCs/>
                <w:color w:val="auto"/>
                <w:sz w:val="24"/>
                <w:highlight w:val="none"/>
              </w:rPr>
            </w:pPr>
            <w:r>
              <w:rPr>
                <w:rFonts w:eastAsia="黑体"/>
                <w:bCs/>
                <w:color w:val="auto"/>
                <w:sz w:val="24"/>
                <w:highlight w:val="none"/>
              </w:rPr>
              <w:t>偏离说明</w:t>
            </w:r>
          </w:p>
        </w:tc>
        <w:tc>
          <w:tcPr>
            <w:tcW w:w="1135" w:type="pct"/>
            <w:noWrap w:val="0"/>
            <w:vAlign w:val="center"/>
          </w:tcPr>
          <w:p w14:paraId="307935A8">
            <w:pPr>
              <w:jc w:val="center"/>
              <w:rPr>
                <w:rFonts w:eastAsia="黑体"/>
                <w:bCs/>
                <w:color w:val="auto"/>
                <w:sz w:val="24"/>
                <w:highlight w:val="none"/>
              </w:rPr>
            </w:pPr>
            <w:r>
              <w:rPr>
                <w:rFonts w:eastAsia="黑体"/>
                <w:bCs/>
                <w:color w:val="auto"/>
                <w:sz w:val="24"/>
                <w:highlight w:val="none"/>
              </w:rPr>
              <w:t>备注</w:t>
            </w:r>
          </w:p>
        </w:tc>
      </w:tr>
      <w:tr w14:paraId="4C0D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7DF3D9DC">
            <w:pPr>
              <w:rPr>
                <w:bCs/>
                <w:color w:val="auto"/>
                <w:sz w:val="24"/>
                <w:highlight w:val="none"/>
              </w:rPr>
            </w:pPr>
            <w:r>
              <w:rPr>
                <w:bCs/>
                <w:color w:val="auto"/>
                <w:sz w:val="24"/>
                <w:highlight w:val="none"/>
              </w:rPr>
              <w:t>1</w:t>
            </w:r>
          </w:p>
        </w:tc>
        <w:tc>
          <w:tcPr>
            <w:tcW w:w="1270" w:type="pct"/>
            <w:noWrap w:val="0"/>
            <w:vAlign w:val="center"/>
          </w:tcPr>
          <w:p w14:paraId="5BD767B2">
            <w:pPr>
              <w:rPr>
                <w:bCs/>
                <w:color w:val="auto"/>
                <w:sz w:val="24"/>
                <w:highlight w:val="none"/>
              </w:rPr>
            </w:pPr>
          </w:p>
        </w:tc>
        <w:tc>
          <w:tcPr>
            <w:tcW w:w="1398" w:type="pct"/>
            <w:noWrap w:val="0"/>
            <w:vAlign w:val="center"/>
          </w:tcPr>
          <w:p w14:paraId="60EF825B">
            <w:pPr>
              <w:rPr>
                <w:bCs/>
                <w:color w:val="auto"/>
                <w:sz w:val="24"/>
                <w:highlight w:val="none"/>
              </w:rPr>
            </w:pPr>
          </w:p>
        </w:tc>
        <w:tc>
          <w:tcPr>
            <w:tcW w:w="788" w:type="pct"/>
            <w:noWrap w:val="0"/>
            <w:vAlign w:val="center"/>
          </w:tcPr>
          <w:p w14:paraId="6F3A0B4B">
            <w:pPr>
              <w:rPr>
                <w:bCs/>
                <w:color w:val="auto"/>
                <w:sz w:val="24"/>
                <w:highlight w:val="none"/>
              </w:rPr>
            </w:pPr>
          </w:p>
        </w:tc>
        <w:tc>
          <w:tcPr>
            <w:tcW w:w="1135" w:type="pct"/>
            <w:noWrap w:val="0"/>
            <w:vAlign w:val="center"/>
          </w:tcPr>
          <w:p w14:paraId="702B2D73">
            <w:pPr>
              <w:jc w:val="center"/>
              <w:rPr>
                <w:bCs/>
                <w:color w:val="auto"/>
                <w:sz w:val="24"/>
                <w:highlight w:val="none"/>
              </w:rPr>
            </w:pPr>
          </w:p>
        </w:tc>
      </w:tr>
      <w:tr w14:paraId="2475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0FB52929">
            <w:pPr>
              <w:rPr>
                <w:bCs/>
                <w:color w:val="auto"/>
                <w:sz w:val="24"/>
                <w:highlight w:val="none"/>
              </w:rPr>
            </w:pPr>
            <w:r>
              <w:rPr>
                <w:bCs/>
                <w:color w:val="auto"/>
                <w:sz w:val="24"/>
                <w:highlight w:val="none"/>
              </w:rPr>
              <w:t>2</w:t>
            </w:r>
          </w:p>
        </w:tc>
        <w:tc>
          <w:tcPr>
            <w:tcW w:w="1270" w:type="pct"/>
            <w:noWrap w:val="0"/>
            <w:vAlign w:val="center"/>
          </w:tcPr>
          <w:p w14:paraId="195A56C9">
            <w:pPr>
              <w:rPr>
                <w:bCs/>
                <w:color w:val="auto"/>
                <w:sz w:val="24"/>
                <w:highlight w:val="none"/>
              </w:rPr>
            </w:pPr>
          </w:p>
        </w:tc>
        <w:tc>
          <w:tcPr>
            <w:tcW w:w="1398" w:type="pct"/>
            <w:noWrap w:val="0"/>
            <w:vAlign w:val="center"/>
          </w:tcPr>
          <w:p w14:paraId="6F75C78D">
            <w:pPr>
              <w:rPr>
                <w:bCs/>
                <w:color w:val="auto"/>
                <w:sz w:val="24"/>
                <w:highlight w:val="none"/>
              </w:rPr>
            </w:pPr>
          </w:p>
        </w:tc>
        <w:tc>
          <w:tcPr>
            <w:tcW w:w="788" w:type="pct"/>
            <w:noWrap w:val="0"/>
            <w:vAlign w:val="center"/>
          </w:tcPr>
          <w:p w14:paraId="795CED91">
            <w:pPr>
              <w:rPr>
                <w:bCs/>
                <w:color w:val="auto"/>
                <w:sz w:val="24"/>
                <w:highlight w:val="none"/>
              </w:rPr>
            </w:pPr>
          </w:p>
        </w:tc>
        <w:tc>
          <w:tcPr>
            <w:tcW w:w="1135" w:type="pct"/>
            <w:noWrap w:val="0"/>
            <w:vAlign w:val="center"/>
          </w:tcPr>
          <w:p w14:paraId="352F1F87">
            <w:pPr>
              <w:jc w:val="center"/>
              <w:rPr>
                <w:bCs/>
                <w:color w:val="auto"/>
                <w:sz w:val="24"/>
                <w:highlight w:val="none"/>
              </w:rPr>
            </w:pPr>
          </w:p>
        </w:tc>
      </w:tr>
      <w:tr w14:paraId="378B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4E90143E">
            <w:pPr>
              <w:rPr>
                <w:bCs/>
                <w:color w:val="auto"/>
                <w:sz w:val="24"/>
                <w:highlight w:val="none"/>
              </w:rPr>
            </w:pPr>
            <w:r>
              <w:rPr>
                <w:bCs/>
                <w:color w:val="auto"/>
                <w:sz w:val="24"/>
                <w:highlight w:val="none"/>
              </w:rPr>
              <w:t>3</w:t>
            </w:r>
          </w:p>
        </w:tc>
        <w:tc>
          <w:tcPr>
            <w:tcW w:w="1270" w:type="pct"/>
            <w:noWrap w:val="0"/>
            <w:vAlign w:val="center"/>
          </w:tcPr>
          <w:p w14:paraId="79442302">
            <w:pPr>
              <w:rPr>
                <w:bCs/>
                <w:color w:val="auto"/>
                <w:sz w:val="24"/>
                <w:highlight w:val="none"/>
              </w:rPr>
            </w:pPr>
          </w:p>
        </w:tc>
        <w:tc>
          <w:tcPr>
            <w:tcW w:w="1398" w:type="pct"/>
            <w:noWrap w:val="0"/>
            <w:vAlign w:val="center"/>
          </w:tcPr>
          <w:p w14:paraId="4AD86AE8">
            <w:pPr>
              <w:rPr>
                <w:bCs/>
                <w:color w:val="auto"/>
                <w:sz w:val="24"/>
                <w:highlight w:val="none"/>
              </w:rPr>
            </w:pPr>
          </w:p>
        </w:tc>
        <w:tc>
          <w:tcPr>
            <w:tcW w:w="788" w:type="pct"/>
            <w:noWrap w:val="0"/>
            <w:vAlign w:val="center"/>
          </w:tcPr>
          <w:p w14:paraId="4FE172CE">
            <w:pPr>
              <w:rPr>
                <w:bCs/>
                <w:color w:val="auto"/>
                <w:sz w:val="24"/>
                <w:highlight w:val="none"/>
              </w:rPr>
            </w:pPr>
          </w:p>
        </w:tc>
        <w:tc>
          <w:tcPr>
            <w:tcW w:w="1135" w:type="pct"/>
            <w:noWrap w:val="0"/>
            <w:vAlign w:val="center"/>
          </w:tcPr>
          <w:p w14:paraId="04502E69">
            <w:pPr>
              <w:jc w:val="center"/>
              <w:rPr>
                <w:bCs/>
                <w:color w:val="auto"/>
                <w:sz w:val="24"/>
                <w:highlight w:val="none"/>
              </w:rPr>
            </w:pPr>
          </w:p>
        </w:tc>
      </w:tr>
      <w:tr w14:paraId="634B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CB4CDDD">
            <w:pPr>
              <w:rPr>
                <w:bCs/>
                <w:color w:val="auto"/>
                <w:sz w:val="24"/>
                <w:highlight w:val="none"/>
              </w:rPr>
            </w:pPr>
            <w:r>
              <w:rPr>
                <w:bCs/>
                <w:color w:val="auto"/>
                <w:sz w:val="24"/>
                <w:highlight w:val="none"/>
              </w:rPr>
              <w:t>4</w:t>
            </w:r>
          </w:p>
        </w:tc>
        <w:tc>
          <w:tcPr>
            <w:tcW w:w="1270" w:type="pct"/>
            <w:noWrap w:val="0"/>
            <w:vAlign w:val="center"/>
          </w:tcPr>
          <w:p w14:paraId="48A76F77">
            <w:pPr>
              <w:rPr>
                <w:bCs/>
                <w:color w:val="auto"/>
                <w:sz w:val="24"/>
                <w:highlight w:val="none"/>
              </w:rPr>
            </w:pPr>
          </w:p>
        </w:tc>
        <w:tc>
          <w:tcPr>
            <w:tcW w:w="1398" w:type="pct"/>
            <w:noWrap w:val="0"/>
            <w:vAlign w:val="center"/>
          </w:tcPr>
          <w:p w14:paraId="6B2E1369">
            <w:pPr>
              <w:rPr>
                <w:bCs/>
                <w:color w:val="auto"/>
                <w:sz w:val="24"/>
                <w:highlight w:val="none"/>
              </w:rPr>
            </w:pPr>
          </w:p>
        </w:tc>
        <w:tc>
          <w:tcPr>
            <w:tcW w:w="788" w:type="pct"/>
            <w:noWrap w:val="0"/>
            <w:vAlign w:val="center"/>
          </w:tcPr>
          <w:p w14:paraId="4E3FCCEB">
            <w:pPr>
              <w:rPr>
                <w:bCs/>
                <w:color w:val="auto"/>
                <w:sz w:val="24"/>
                <w:highlight w:val="none"/>
              </w:rPr>
            </w:pPr>
          </w:p>
        </w:tc>
        <w:tc>
          <w:tcPr>
            <w:tcW w:w="1135" w:type="pct"/>
            <w:noWrap w:val="0"/>
            <w:vAlign w:val="center"/>
          </w:tcPr>
          <w:p w14:paraId="31F45A24">
            <w:pPr>
              <w:jc w:val="center"/>
              <w:rPr>
                <w:bCs/>
                <w:color w:val="auto"/>
                <w:sz w:val="24"/>
                <w:highlight w:val="none"/>
              </w:rPr>
            </w:pPr>
          </w:p>
        </w:tc>
      </w:tr>
      <w:tr w14:paraId="269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47490E0">
            <w:pPr>
              <w:rPr>
                <w:bCs/>
                <w:color w:val="auto"/>
                <w:sz w:val="24"/>
                <w:highlight w:val="none"/>
              </w:rPr>
            </w:pPr>
            <w:r>
              <w:rPr>
                <w:bCs/>
                <w:color w:val="auto"/>
                <w:sz w:val="24"/>
                <w:highlight w:val="none"/>
              </w:rPr>
              <w:t>5</w:t>
            </w:r>
          </w:p>
        </w:tc>
        <w:tc>
          <w:tcPr>
            <w:tcW w:w="1270" w:type="pct"/>
            <w:noWrap w:val="0"/>
            <w:vAlign w:val="center"/>
          </w:tcPr>
          <w:p w14:paraId="0F5C9059">
            <w:pPr>
              <w:rPr>
                <w:bCs/>
                <w:color w:val="auto"/>
                <w:sz w:val="24"/>
                <w:highlight w:val="none"/>
              </w:rPr>
            </w:pPr>
          </w:p>
        </w:tc>
        <w:tc>
          <w:tcPr>
            <w:tcW w:w="1398" w:type="pct"/>
            <w:noWrap w:val="0"/>
            <w:vAlign w:val="center"/>
          </w:tcPr>
          <w:p w14:paraId="2F6D830A">
            <w:pPr>
              <w:rPr>
                <w:bCs/>
                <w:color w:val="auto"/>
                <w:sz w:val="24"/>
                <w:highlight w:val="none"/>
              </w:rPr>
            </w:pPr>
          </w:p>
        </w:tc>
        <w:tc>
          <w:tcPr>
            <w:tcW w:w="788" w:type="pct"/>
            <w:noWrap w:val="0"/>
            <w:vAlign w:val="center"/>
          </w:tcPr>
          <w:p w14:paraId="3B878378">
            <w:pPr>
              <w:rPr>
                <w:bCs/>
                <w:color w:val="auto"/>
                <w:sz w:val="24"/>
                <w:highlight w:val="none"/>
              </w:rPr>
            </w:pPr>
          </w:p>
        </w:tc>
        <w:tc>
          <w:tcPr>
            <w:tcW w:w="1135" w:type="pct"/>
            <w:noWrap w:val="0"/>
            <w:vAlign w:val="center"/>
          </w:tcPr>
          <w:p w14:paraId="21406E5E">
            <w:pPr>
              <w:jc w:val="center"/>
              <w:rPr>
                <w:bCs/>
                <w:color w:val="auto"/>
                <w:sz w:val="24"/>
                <w:highlight w:val="none"/>
              </w:rPr>
            </w:pPr>
          </w:p>
        </w:tc>
      </w:tr>
      <w:tr w14:paraId="4F5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256CA232">
            <w:pPr>
              <w:rPr>
                <w:bCs/>
                <w:color w:val="auto"/>
                <w:sz w:val="24"/>
                <w:highlight w:val="none"/>
              </w:rPr>
            </w:pPr>
            <w:r>
              <w:rPr>
                <w:bCs/>
                <w:color w:val="auto"/>
                <w:sz w:val="24"/>
                <w:highlight w:val="none"/>
              </w:rPr>
              <w:t>6</w:t>
            </w:r>
          </w:p>
        </w:tc>
        <w:tc>
          <w:tcPr>
            <w:tcW w:w="1270" w:type="pct"/>
            <w:noWrap w:val="0"/>
            <w:vAlign w:val="center"/>
          </w:tcPr>
          <w:p w14:paraId="7958C211">
            <w:pPr>
              <w:rPr>
                <w:bCs/>
                <w:color w:val="auto"/>
                <w:sz w:val="24"/>
                <w:highlight w:val="none"/>
              </w:rPr>
            </w:pPr>
          </w:p>
        </w:tc>
        <w:tc>
          <w:tcPr>
            <w:tcW w:w="1398" w:type="pct"/>
            <w:noWrap w:val="0"/>
            <w:vAlign w:val="center"/>
          </w:tcPr>
          <w:p w14:paraId="3594E45F">
            <w:pPr>
              <w:rPr>
                <w:bCs/>
                <w:color w:val="auto"/>
                <w:sz w:val="24"/>
                <w:highlight w:val="none"/>
              </w:rPr>
            </w:pPr>
          </w:p>
        </w:tc>
        <w:tc>
          <w:tcPr>
            <w:tcW w:w="788" w:type="pct"/>
            <w:noWrap w:val="0"/>
            <w:vAlign w:val="center"/>
          </w:tcPr>
          <w:p w14:paraId="22104DC6">
            <w:pPr>
              <w:rPr>
                <w:bCs/>
                <w:color w:val="auto"/>
                <w:sz w:val="24"/>
                <w:highlight w:val="none"/>
              </w:rPr>
            </w:pPr>
          </w:p>
        </w:tc>
        <w:tc>
          <w:tcPr>
            <w:tcW w:w="1135" w:type="pct"/>
            <w:noWrap w:val="0"/>
            <w:vAlign w:val="center"/>
          </w:tcPr>
          <w:p w14:paraId="14986432">
            <w:pPr>
              <w:jc w:val="center"/>
              <w:rPr>
                <w:bCs/>
                <w:color w:val="auto"/>
                <w:sz w:val="24"/>
                <w:highlight w:val="none"/>
              </w:rPr>
            </w:pPr>
          </w:p>
        </w:tc>
      </w:tr>
      <w:tr w14:paraId="0855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4BA06F37">
            <w:pPr>
              <w:rPr>
                <w:bCs/>
                <w:color w:val="auto"/>
                <w:sz w:val="24"/>
                <w:highlight w:val="none"/>
              </w:rPr>
            </w:pPr>
            <w:r>
              <w:rPr>
                <w:bCs/>
                <w:color w:val="auto"/>
                <w:sz w:val="24"/>
                <w:highlight w:val="none"/>
              </w:rPr>
              <w:t>7</w:t>
            </w:r>
          </w:p>
        </w:tc>
        <w:tc>
          <w:tcPr>
            <w:tcW w:w="1270" w:type="pct"/>
            <w:noWrap w:val="0"/>
            <w:vAlign w:val="center"/>
          </w:tcPr>
          <w:p w14:paraId="5F54C1AE">
            <w:pPr>
              <w:rPr>
                <w:bCs/>
                <w:color w:val="auto"/>
                <w:sz w:val="24"/>
                <w:highlight w:val="none"/>
              </w:rPr>
            </w:pPr>
          </w:p>
        </w:tc>
        <w:tc>
          <w:tcPr>
            <w:tcW w:w="1398" w:type="pct"/>
            <w:noWrap w:val="0"/>
            <w:vAlign w:val="center"/>
          </w:tcPr>
          <w:p w14:paraId="177EA88B">
            <w:pPr>
              <w:rPr>
                <w:bCs/>
                <w:color w:val="auto"/>
                <w:sz w:val="24"/>
                <w:highlight w:val="none"/>
              </w:rPr>
            </w:pPr>
          </w:p>
        </w:tc>
        <w:tc>
          <w:tcPr>
            <w:tcW w:w="788" w:type="pct"/>
            <w:noWrap w:val="0"/>
            <w:vAlign w:val="center"/>
          </w:tcPr>
          <w:p w14:paraId="587F039A">
            <w:pPr>
              <w:rPr>
                <w:bCs/>
                <w:color w:val="auto"/>
                <w:sz w:val="24"/>
                <w:highlight w:val="none"/>
              </w:rPr>
            </w:pPr>
          </w:p>
        </w:tc>
        <w:tc>
          <w:tcPr>
            <w:tcW w:w="1135" w:type="pct"/>
            <w:noWrap w:val="0"/>
            <w:vAlign w:val="center"/>
          </w:tcPr>
          <w:p w14:paraId="28C58456">
            <w:pPr>
              <w:jc w:val="center"/>
              <w:rPr>
                <w:bCs/>
                <w:color w:val="auto"/>
                <w:sz w:val="24"/>
                <w:highlight w:val="none"/>
              </w:rPr>
            </w:pPr>
          </w:p>
        </w:tc>
      </w:tr>
      <w:tr w14:paraId="7E36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FCC4B28">
            <w:pPr>
              <w:rPr>
                <w:bCs/>
                <w:color w:val="auto"/>
                <w:sz w:val="24"/>
                <w:highlight w:val="none"/>
              </w:rPr>
            </w:pPr>
            <w:r>
              <w:rPr>
                <w:bCs/>
                <w:color w:val="auto"/>
                <w:sz w:val="24"/>
                <w:highlight w:val="none"/>
              </w:rPr>
              <w:t>…</w:t>
            </w:r>
          </w:p>
        </w:tc>
        <w:tc>
          <w:tcPr>
            <w:tcW w:w="1270" w:type="pct"/>
            <w:noWrap w:val="0"/>
            <w:vAlign w:val="center"/>
          </w:tcPr>
          <w:p w14:paraId="0D47B863">
            <w:pPr>
              <w:rPr>
                <w:bCs/>
                <w:color w:val="auto"/>
                <w:sz w:val="24"/>
                <w:highlight w:val="none"/>
              </w:rPr>
            </w:pPr>
          </w:p>
        </w:tc>
        <w:tc>
          <w:tcPr>
            <w:tcW w:w="1398" w:type="pct"/>
            <w:noWrap w:val="0"/>
            <w:vAlign w:val="center"/>
          </w:tcPr>
          <w:p w14:paraId="498E4487">
            <w:pPr>
              <w:rPr>
                <w:bCs/>
                <w:color w:val="auto"/>
                <w:sz w:val="24"/>
                <w:highlight w:val="none"/>
              </w:rPr>
            </w:pPr>
          </w:p>
        </w:tc>
        <w:tc>
          <w:tcPr>
            <w:tcW w:w="788" w:type="pct"/>
            <w:noWrap w:val="0"/>
            <w:vAlign w:val="center"/>
          </w:tcPr>
          <w:p w14:paraId="5134CF31">
            <w:pPr>
              <w:rPr>
                <w:bCs/>
                <w:color w:val="auto"/>
                <w:sz w:val="24"/>
                <w:highlight w:val="none"/>
              </w:rPr>
            </w:pPr>
          </w:p>
        </w:tc>
        <w:tc>
          <w:tcPr>
            <w:tcW w:w="1135" w:type="pct"/>
            <w:noWrap w:val="0"/>
            <w:vAlign w:val="center"/>
          </w:tcPr>
          <w:p w14:paraId="45A84EFA">
            <w:pPr>
              <w:jc w:val="center"/>
              <w:rPr>
                <w:bCs/>
                <w:color w:val="auto"/>
                <w:sz w:val="24"/>
                <w:highlight w:val="none"/>
              </w:rPr>
            </w:pPr>
          </w:p>
        </w:tc>
      </w:tr>
    </w:tbl>
    <w:p w14:paraId="59537708">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6B2C26EC">
      <w:pPr>
        <w:spacing w:line="44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1</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68DDE66D">
      <w:pPr>
        <w:spacing w:line="440" w:lineRule="exact"/>
        <w:rPr>
          <w:rFonts w:ascii="Times New Roman" w:hAnsi="Times New Roman"/>
          <w:color w:val="auto"/>
          <w:sz w:val="24"/>
          <w:szCs w:val="24"/>
          <w:highlight w:val="none"/>
        </w:rPr>
      </w:pPr>
    </w:p>
    <w:p w14:paraId="1A9EE3C3">
      <w:pPr>
        <w:spacing w:line="52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BC224BC">
      <w:pPr>
        <w:spacing w:line="52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31ADB04E">
      <w:pPr>
        <w:adjustRightInd w:val="0"/>
        <w:snapToGrid w:val="0"/>
        <w:spacing w:line="520" w:lineRule="exact"/>
        <w:outlineLvl w:val="0"/>
        <w:rPr>
          <w:rFonts w:ascii="楷体_GB2312" w:hAnsi="Times New Roman" w:eastAsia="楷体_GB2312"/>
          <w:bCs/>
          <w:color w:val="auto"/>
          <w:sz w:val="24"/>
          <w:szCs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七</w:t>
      </w:r>
    </w:p>
    <w:p w14:paraId="2B2D67DF">
      <w:pPr>
        <w:adjustRightInd w:val="0"/>
        <w:snapToGrid w:val="0"/>
        <w:spacing w:beforeLines="50"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法人（负责人）代表授权书</w:t>
      </w:r>
    </w:p>
    <w:p w14:paraId="491B154B">
      <w:pPr>
        <w:spacing w:beforeLines="50" w:afterLines="100" w:line="520" w:lineRule="exact"/>
        <w:rPr>
          <w:rFonts w:ascii="Times New Roman" w:hAnsi="Times New Roman"/>
          <w:color w:val="auto"/>
          <w:sz w:val="24"/>
          <w:szCs w:val="24"/>
          <w:highlight w:val="none"/>
        </w:rPr>
      </w:pPr>
    </w:p>
    <w:p w14:paraId="2A9ECEB0">
      <w:pPr>
        <w:spacing w:line="480" w:lineRule="exact"/>
        <w:rPr>
          <w:rFonts w:ascii="Times New Roman" w:hAnsi="Times New Roman"/>
          <w:bCs/>
          <w:color w:val="auto"/>
          <w:sz w:val="24"/>
          <w:szCs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eastAsia="zh-CN"/>
        </w:rPr>
        <w:t>分散采购</w:t>
      </w:r>
      <w:r>
        <w:rPr>
          <w:rFonts w:ascii="Times New Roman" w:hAnsi="Times New Roman"/>
          <w:bCs/>
          <w:color w:val="auto"/>
          <w:sz w:val="24"/>
          <w:highlight w:val="none"/>
        </w:rPr>
        <w:t>机构名称）</w:t>
      </w:r>
      <w:r>
        <w:rPr>
          <w:rFonts w:ascii="Times New Roman" w:hAnsi="Times New Roman"/>
          <w:bCs/>
          <w:color w:val="auto"/>
          <w:sz w:val="24"/>
          <w:szCs w:val="24"/>
          <w:highlight w:val="none"/>
        </w:rPr>
        <w:t>：</w:t>
      </w:r>
    </w:p>
    <w:p w14:paraId="2E725107">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u w:val="single"/>
        </w:rPr>
        <w:t>（供应商名称）</w:t>
      </w:r>
      <w:r>
        <w:rPr>
          <w:rFonts w:ascii="Times New Roman" w:hAnsi="Times New Roman"/>
          <w:bCs/>
          <w:color w:val="auto"/>
          <w:sz w:val="24"/>
          <w:szCs w:val="24"/>
          <w:highlight w:val="none"/>
        </w:rPr>
        <w:t>在下面签字的（</w:t>
      </w:r>
      <w:r>
        <w:rPr>
          <w:rFonts w:ascii="Times New Roman" w:hAnsi="Times New Roman"/>
          <w:bCs/>
          <w:color w:val="auto"/>
          <w:sz w:val="24"/>
          <w:szCs w:val="24"/>
          <w:highlight w:val="none"/>
          <w:u w:val="single"/>
        </w:rPr>
        <w:t>法定代表人姓名、职务</w:t>
      </w:r>
      <w:r>
        <w:rPr>
          <w:rFonts w:ascii="Times New Roman" w:hAnsi="Times New Roman"/>
          <w:bCs/>
          <w:color w:val="auto"/>
          <w:sz w:val="24"/>
          <w:szCs w:val="24"/>
          <w:highlight w:val="none"/>
        </w:rPr>
        <w:t>）代表本公司授权（供应商名称）的下面签字的</w:t>
      </w:r>
      <w:r>
        <w:rPr>
          <w:rFonts w:ascii="Times New Roman" w:hAnsi="Times New Roman"/>
          <w:bCs/>
          <w:color w:val="auto"/>
          <w:sz w:val="24"/>
          <w:szCs w:val="24"/>
          <w:highlight w:val="none"/>
          <w:u w:val="single"/>
        </w:rPr>
        <w:t>（被授权代表的姓名、职务）</w:t>
      </w:r>
      <w:r>
        <w:rPr>
          <w:rFonts w:ascii="Times New Roman" w:hAnsi="Times New Roman"/>
          <w:bCs/>
          <w:color w:val="auto"/>
          <w:sz w:val="24"/>
          <w:szCs w:val="24"/>
          <w:highlight w:val="none"/>
        </w:rPr>
        <w:t>为本公司的合法代理人，就（</w:t>
      </w:r>
      <w:r>
        <w:rPr>
          <w:rFonts w:ascii="Times New Roman" w:hAnsi="Times New Roman"/>
          <w:bCs/>
          <w:color w:val="auto"/>
          <w:sz w:val="24"/>
          <w:szCs w:val="24"/>
          <w:highlight w:val="none"/>
          <w:u w:val="single"/>
        </w:rPr>
        <w:t>项目名称、项目编号</w:t>
      </w:r>
      <w:r>
        <w:rPr>
          <w:rFonts w:ascii="Times New Roman" w:hAnsi="Times New Roman"/>
          <w:bCs/>
          <w:color w:val="auto"/>
          <w:sz w:val="24"/>
          <w:szCs w:val="24"/>
          <w:highlight w:val="none"/>
        </w:rPr>
        <w:t>）的竞争性磋商，以本公司的名义处理一切与之有关的事务。</w:t>
      </w:r>
    </w:p>
    <w:p w14:paraId="5A301282">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本授权书自年月日至年月日止签字有效。</w:t>
      </w:r>
    </w:p>
    <w:p w14:paraId="10222B85">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特此声明。</w:t>
      </w:r>
    </w:p>
    <w:p w14:paraId="014C9E6C">
      <w:pPr>
        <w:spacing w:beforeLines="100" w:after="100" w:afterAutospacing="1"/>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委托人名称（公章）：被授权人（签章）：</w:t>
      </w:r>
    </w:p>
    <w:p w14:paraId="308B337B">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法定（负责人）代表人（签章）：身份证号码：</w:t>
      </w:r>
    </w:p>
    <w:p w14:paraId="3DD366C3">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电话：电话（手机）：</w:t>
      </w:r>
    </w:p>
    <w:p w14:paraId="42DB1D9E">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传真：办公电话/传真：</w:t>
      </w:r>
    </w:p>
    <w:p w14:paraId="28D2696A">
      <w:pPr>
        <w:spacing w:beforeLines="50" w:afterLines="100"/>
        <w:rPr>
          <w:rFonts w:ascii="Times New Roman" w:hAnsi="Times New Roman"/>
          <w:bCs/>
          <w:color w:val="auto"/>
          <w:sz w:val="24"/>
          <w:szCs w:val="24"/>
          <w:highlight w:val="none"/>
          <w:u w:val="single"/>
        </w:rPr>
      </w:pPr>
    </w:p>
    <w:tbl>
      <w:tblPr>
        <w:tblStyle w:val="30"/>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4AA4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25141427">
            <w:pPr>
              <w:spacing w:beforeLines="50" w:afterLines="100"/>
              <w:rPr>
                <w:rFonts w:ascii="Times New Roman" w:hAnsi="Times New Roman"/>
                <w:bCs/>
                <w:color w:val="auto"/>
                <w:sz w:val="24"/>
                <w:szCs w:val="24"/>
                <w:highlight w:val="none"/>
              </w:rPr>
            </w:pPr>
            <w:r>
              <w:rPr>
                <w:rFonts w:ascii="Times New Roman" w:hAnsi="Times New Roman"/>
                <w:bCs/>
                <w:color w:val="auto"/>
                <w:sz w:val="24"/>
                <w:szCs w:val="24"/>
                <w:highlight w:val="none"/>
              </w:rPr>
              <w:t>粘贴被授权人身份证（复印件）</w:t>
            </w:r>
          </w:p>
        </w:tc>
      </w:tr>
    </w:tbl>
    <w:p w14:paraId="6F72CA0D">
      <w:pPr>
        <w:rPr>
          <w:rFonts w:ascii="Times New Roman" w:hAnsi="Times New Roman"/>
          <w:bCs/>
          <w:color w:val="auto"/>
          <w:sz w:val="24"/>
          <w:szCs w:val="24"/>
          <w:highlight w:val="none"/>
        </w:rPr>
      </w:pPr>
    </w:p>
    <w:p w14:paraId="7721AF5C">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八</w:t>
      </w:r>
    </w:p>
    <w:p w14:paraId="6896A79F">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法人或者其他组织的营业执照等证明文件，自然人的</w:t>
      </w:r>
    </w:p>
    <w:p w14:paraId="4DC3C9FA">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身份证明等证明材料</w:t>
      </w:r>
    </w:p>
    <w:p w14:paraId="62FCB227">
      <w:pPr>
        <w:spacing w:line="520" w:lineRule="exact"/>
        <w:rPr>
          <w:rFonts w:ascii="Times New Roman" w:hAnsi="Times New Roman" w:eastAsia="仿宋_GB2312"/>
          <w:bCs/>
          <w:color w:val="auto"/>
          <w:szCs w:val="28"/>
          <w:highlight w:val="none"/>
        </w:rPr>
      </w:pPr>
    </w:p>
    <w:p w14:paraId="7D6BD0FA">
      <w:pPr>
        <w:widowControl/>
        <w:spacing w:line="520" w:lineRule="exact"/>
        <w:jc w:val="left"/>
        <w:rPr>
          <w:rFonts w:ascii="Times New Roman" w:hAnsi="Times New Roman"/>
          <w:bCs/>
          <w:color w:val="auto"/>
          <w:sz w:val="24"/>
          <w:highlight w:val="none"/>
        </w:rPr>
      </w:pPr>
    </w:p>
    <w:p w14:paraId="06FEF0B5">
      <w:pPr>
        <w:widowControl/>
        <w:jc w:val="left"/>
        <w:rPr>
          <w:rFonts w:ascii="Times New Roman" w:hAnsi="Times New Roman"/>
          <w:bCs/>
          <w:color w:val="auto"/>
          <w:sz w:val="24"/>
          <w:highlight w:val="none"/>
        </w:rPr>
      </w:pPr>
      <w:r>
        <w:rPr>
          <w:rFonts w:ascii="Times New Roman" w:hAnsi="Times New Roman"/>
          <w:bCs/>
          <w:color w:val="auto"/>
          <w:sz w:val="24"/>
          <w:highlight w:val="none"/>
        </w:rPr>
        <w:t>（企业法人营业执照、税务登记证，供应商是自然人的身份证明材料等）</w:t>
      </w:r>
    </w:p>
    <w:p w14:paraId="7AE2D574">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九</w:t>
      </w:r>
    </w:p>
    <w:p w14:paraId="55FF6C6C">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财务状况报告，依法缴纳税收和社会保障资金的</w:t>
      </w:r>
    </w:p>
    <w:p w14:paraId="7081B6D4">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相</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关</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62A3B3AA">
      <w:pPr>
        <w:spacing w:line="520" w:lineRule="exact"/>
        <w:rPr>
          <w:rFonts w:ascii="Times New Roman" w:hAnsi="Times New Roman" w:eastAsia="仿宋_GB2312"/>
          <w:bCs/>
          <w:color w:val="auto"/>
          <w:szCs w:val="28"/>
          <w:highlight w:val="none"/>
        </w:rPr>
      </w:pPr>
    </w:p>
    <w:p w14:paraId="19A54966">
      <w:pPr>
        <w:spacing w:line="52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一、参加本采购项目前一年度的财务报表（企业成立时间不足一年不适用），或其他证明具备实施本项目的财务状况证明材料；</w:t>
      </w:r>
    </w:p>
    <w:p w14:paraId="0ADFD832">
      <w:pPr>
        <w:spacing w:line="52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二、参加本采购项目前，近期的纳税证明；</w:t>
      </w:r>
    </w:p>
    <w:p w14:paraId="2D6D8D85">
      <w:pPr>
        <w:spacing w:line="520" w:lineRule="exact"/>
        <w:ind w:left="2" w:leftChars="1" w:firstLine="480" w:firstLineChars="200"/>
        <w:rPr>
          <w:rFonts w:ascii="Times New Roman" w:hAnsi="Times New Roman"/>
          <w:bCs/>
          <w:color w:val="auto"/>
          <w:sz w:val="24"/>
          <w:highlight w:val="none"/>
        </w:rPr>
      </w:pPr>
      <w:r>
        <w:rPr>
          <w:rFonts w:ascii="Times New Roman" w:hAnsi="Times New Roman"/>
          <w:bCs/>
          <w:color w:val="auto"/>
          <w:sz w:val="24"/>
          <w:highlight w:val="none"/>
        </w:rPr>
        <w:t>三、参加本采购项目前，近期缴纳社会保障资金证明等。</w:t>
      </w:r>
      <w:r>
        <w:rPr>
          <w:rFonts w:ascii="Times New Roman" w:hAnsi="Times New Roman"/>
          <w:color w:val="auto"/>
          <w:szCs w:val="28"/>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w:t>
      </w:r>
    </w:p>
    <w:p w14:paraId="363BE6B7">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具备履行合同所必需的设备和专业技术能力的</w:t>
      </w:r>
    </w:p>
    <w:p w14:paraId="08FBAE5E">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证</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明</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36F40526">
      <w:pPr>
        <w:spacing w:line="520" w:lineRule="exact"/>
        <w:jc w:val="center"/>
        <w:rPr>
          <w:rFonts w:ascii="Times New Roman" w:hAnsi="Times New Roman" w:eastAsia="方正小标宋简体"/>
          <w:bCs/>
          <w:color w:val="auto"/>
          <w:sz w:val="40"/>
          <w:szCs w:val="40"/>
          <w:highlight w:val="none"/>
        </w:rPr>
      </w:pPr>
    </w:p>
    <w:p w14:paraId="7A4E9ADA">
      <w:pPr>
        <w:spacing w:line="520" w:lineRule="exact"/>
        <w:jc w:val="center"/>
        <w:rPr>
          <w:rFonts w:ascii="Times New Roman" w:hAnsi="Times New Roman"/>
          <w:bCs/>
          <w:color w:val="auto"/>
          <w:sz w:val="24"/>
          <w:highlight w:val="none"/>
        </w:rPr>
      </w:pPr>
    </w:p>
    <w:p w14:paraId="38E5CFF3">
      <w:pPr>
        <w:spacing w:line="520" w:lineRule="exact"/>
        <w:jc w:val="center"/>
        <w:rPr>
          <w:rFonts w:ascii="Times New Roman" w:hAnsi="Times New Roman"/>
          <w:bCs/>
          <w:color w:val="auto"/>
          <w:sz w:val="24"/>
          <w:highlight w:val="none"/>
        </w:rPr>
      </w:pPr>
      <w:r>
        <w:rPr>
          <w:rFonts w:ascii="Times New Roman" w:hAnsi="Times New Roman"/>
          <w:bCs/>
          <w:color w:val="auto"/>
          <w:sz w:val="24"/>
          <w:highlight w:val="none"/>
        </w:rPr>
        <w:t>（提供履行合同所必需的设备和专业技术能力的相关文件）</w:t>
      </w:r>
    </w:p>
    <w:p w14:paraId="1C4DAA1E">
      <w:pPr>
        <w:adjustRightInd w:val="0"/>
        <w:snapToGrid w:val="0"/>
        <w:spacing w:line="520" w:lineRule="exact"/>
        <w:outlineLvl w:val="0"/>
        <w:rPr>
          <w:rFonts w:ascii="楷体_GB2312" w:hAnsi="Times New Roman" w:eastAsia="楷体_GB2312"/>
          <w:color w:val="auto"/>
          <w:sz w:val="24"/>
          <w:highlight w:val="none"/>
        </w:rPr>
      </w:pPr>
      <w:r>
        <w:rPr>
          <w:rFonts w:ascii="Times New Roman" w:hAnsi="Times New Roman"/>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十一</w:t>
      </w:r>
    </w:p>
    <w:p w14:paraId="010C29E9">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参加政府采购活动前3年内在经营活动中</w:t>
      </w:r>
    </w:p>
    <w:p w14:paraId="2FCC80E7">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没有重大违法记录的书面声明</w:t>
      </w:r>
    </w:p>
    <w:p w14:paraId="6745EA4F">
      <w:pPr>
        <w:spacing w:line="520" w:lineRule="exact"/>
        <w:jc w:val="center"/>
        <w:rPr>
          <w:rFonts w:ascii="Times New Roman" w:hAnsi="Times New Roman" w:eastAsia="仿宋_GB2312"/>
          <w:color w:val="auto"/>
          <w:sz w:val="24"/>
          <w:highlight w:val="none"/>
        </w:rPr>
      </w:pPr>
    </w:p>
    <w:p w14:paraId="132A4A25">
      <w:pPr>
        <w:spacing w:line="520" w:lineRule="exact"/>
        <w:jc w:val="center"/>
        <w:rPr>
          <w:rFonts w:ascii="Times New Roman" w:hAnsi="Times New Roman"/>
          <w:bCs/>
          <w:color w:val="auto"/>
          <w:sz w:val="32"/>
          <w:szCs w:val="32"/>
          <w:highlight w:val="none"/>
        </w:rPr>
      </w:pPr>
      <w:r>
        <w:rPr>
          <w:rFonts w:ascii="Times New Roman" w:hAnsi="Times New Roman"/>
          <w:color w:val="auto"/>
          <w:sz w:val="24"/>
          <w:highlight w:val="none"/>
        </w:rPr>
        <w:t>（供应商自行编写）</w:t>
      </w:r>
    </w:p>
    <w:p w14:paraId="6F49B704">
      <w:pPr>
        <w:adjustRightInd w:val="0"/>
        <w:snapToGrid w:val="0"/>
        <w:spacing w:line="520" w:lineRule="exact"/>
        <w:outlineLvl w:val="0"/>
        <w:rPr>
          <w:rFonts w:ascii="楷体_GB2312"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十二</w:t>
      </w:r>
    </w:p>
    <w:p w14:paraId="63BDF697">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未被列入“信用中国”网站失信被执行人、重大税收违法案件当事人名单、政府采购严重违法失信行为</w:t>
      </w:r>
    </w:p>
    <w:p w14:paraId="6C89352F">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记录名单的网页打印件</w:t>
      </w:r>
    </w:p>
    <w:p w14:paraId="200EA492">
      <w:pPr>
        <w:spacing w:line="640" w:lineRule="exact"/>
        <w:jc w:val="center"/>
        <w:rPr>
          <w:rFonts w:ascii="Times New Roman" w:hAnsi="Times New Roman"/>
          <w:color w:val="auto"/>
          <w:sz w:val="24"/>
          <w:highlight w:val="none"/>
        </w:rPr>
      </w:pPr>
    </w:p>
    <w:p w14:paraId="09ED5E70">
      <w:pPr>
        <w:spacing w:line="640" w:lineRule="exact"/>
        <w:jc w:val="center"/>
        <w:rPr>
          <w:rFonts w:ascii="Times New Roman" w:hAnsi="Times New Roman"/>
          <w:color w:val="auto"/>
          <w:highlight w:val="none"/>
        </w:rPr>
      </w:pPr>
      <w:r>
        <w:rPr>
          <w:rFonts w:ascii="Times New Roman" w:hAnsi="Times New Roman"/>
          <w:color w:val="auto"/>
          <w:sz w:val="24"/>
          <w:highlight w:val="none"/>
        </w:rPr>
        <w:t>（供应商自行打印）</w:t>
      </w:r>
    </w:p>
    <w:p w14:paraId="1FBE5629">
      <w:pPr>
        <w:spacing w:line="440" w:lineRule="exact"/>
        <w:rPr>
          <w:rFonts w:ascii="Times New Roman" w:hAnsi="Times New Roman"/>
          <w:color w:val="auto"/>
          <w:highlight w:val="none"/>
        </w:rPr>
      </w:pPr>
    </w:p>
    <w:p w14:paraId="50A5EAE5">
      <w:pPr>
        <w:adjustRightInd w:val="0"/>
        <w:snapToGrid w:val="0"/>
        <w:spacing w:line="520" w:lineRule="exact"/>
        <w:outlineLvl w:val="0"/>
        <w:rPr>
          <w:rFonts w:ascii="Times New Roman"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1</w:t>
      </w:r>
    </w:p>
    <w:p w14:paraId="4528B0AC">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中小企业声明函</w:t>
      </w:r>
    </w:p>
    <w:p w14:paraId="0AFDAAB8">
      <w:pPr>
        <w:spacing w:line="520" w:lineRule="exact"/>
        <w:rPr>
          <w:rFonts w:ascii="Times New Roman" w:hAnsi="Times New Roman"/>
          <w:color w:val="auto"/>
          <w:sz w:val="32"/>
          <w:szCs w:val="32"/>
          <w:highlight w:val="none"/>
        </w:rPr>
      </w:pPr>
    </w:p>
    <w:p w14:paraId="5A7075D9">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本公司郑重声明，根据《政府采购促进中小企业发展暂行办法》（财库〔2011〕181号）的规定，本公司为</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（请填写：中型、小型、微型）企业。即，本公司同时满足以下条件：</w:t>
      </w:r>
    </w:p>
    <w:p w14:paraId="18367B67">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ascii="宋体" w:hAnsi="宋体"/>
          <w:color w:val="auto"/>
          <w:sz w:val="24"/>
          <w:szCs w:val="24"/>
          <w:highlight w:val="none"/>
        </w:rPr>
        <w:t>.</w:t>
      </w:r>
      <w:r>
        <w:rPr>
          <w:rFonts w:ascii="Times New Roman" w:hAnsi="Times New Roman"/>
          <w:color w:val="auto"/>
          <w:sz w:val="24"/>
          <w:highlight w:val="none"/>
        </w:rPr>
        <w:t>根据《工业和信息化部、国家统计局、国家发展和改革委员会、财政部关于印发中小企业划型标准规定的通知》（工信部联企业〔2011〕300号）规定的划分标准，本公司为</w:t>
      </w:r>
      <w:r>
        <w:rPr>
          <w:rFonts w:ascii="Times New Roman" w:hAnsi="Times New Roman"/>
          <w:color w:val="auto"/>
          <w:sz w:val="24"/>
          <w:highlight w:val="none"/>
          <w:u w:val="single"/>
        </w:rPr>
        <w:t>____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（请填写：中型、小型、微型）企业。</w:t>
      </w:r>
    </w:p>
    <w:p w14:paraId="237CF5F5">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ascii="宋体" w:hAnsi="宋体"/>
          <w:color w:val="auto"/>
          <w:sz w:val="24"/>
          <w:szCs w:val="24"/>
          <w:highlight w:val="none"/>
        </w:rPr>
        <w:t>.</w:t>
      </w:r>
      <w:r>
        <w:rPr>
          <w:rFonts w:ascii="Times New Roman" w:hAnsi="Times New Roman"/>
          <w:color w:val="auto"/>
          <w:sz w:val="24"/>
          <w:highlight w:val="none"/>
        </w:rPr>
        <w:t>本公司参加</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单位的</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项目（项目编号：）采购活动提供本企业制造的货物，由本企业承担工程、提供服务，或者提供其他</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（请填写：中型、小型、微型）企业制造的货物。本条所称货物不包括使用大型企业注册商标的货物。</w:t>
      </w:r>
    </w:p>
    <w:p w14:paraId="2E5F3E98">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本公司对上述声明的真实性负责。如有虚假，将依法承担相应责任。</w:t>
      </w:r>
      <w:r>
        <w:rPr>
          <w:rFonts w:ascii="Times New Roman" w:hAnsi="Times New Roman"/>
          <w:color w:val="auto"/>
          <w:sz w:val="24"/>
          <w:highlight w:val="none"/>
        </w:rPr>
        <w:br w:type="textWrapping"/>
      </w:r>
    </w:p>
    <w:p w14:paraId="6E2185FA">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企业名称（盖章）：</w:t>
      </w:r>
    </w:p>
    <w:p w14:paraId="6B306956">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企业法人（负责人）签字（签章）：</w:t>
      </w:r>
    </w:p>
    <w:p w14:paraId="77F7E01E">
      <w:pPr>
        <w:spacing w:line="500" w:lineRule="exact"/>
        <w:ind w:firstLine="480" w:firstLineChars="200"/>
        <w:rPr>
          <w:rFonts w:ascii="Times New Roman" w:hAnsi="Times New Roman"/>
          <w:color w:val="auto"/>
          <w:sz w:val="24"/>
          <w:highlight w:val="none"/>
        </w:rPr>
        <w:sectPr>
          <w:footerReference r:id="rId7" w:type="default"/>
          <w:pgSz w:w="11906" w:h="16838"/>
          <w:pgMar w:top="1418" w:right="1418" w:bottom="1418" w:left="1418" w:header="851" w:footer="992" w:gutter="0"/>
          <w:cols w:space="425" w:num="1"/>
          <w:docGrid w:linePitch="312" w:charSpace="0"/>
        </w:sectPr>
      </w:pPr>
      <w:r>
        <w:rPr>
          <w:rFonts w:ascii="Times New Roman" w:hAnsi="Times New Roman"/>
          <w:color w:val="auto"/>
          <w:sz w:val="24"/>
          <w:highlight w:val="none"/>
        </w:rPr>
        <w:t>日</w:t>
      </w:r>
      <w:r>
        <w:rPr>
          <w:rFonts w:hint="eastAsia" w:ascii="Times New Roman" w:hAnsi="Times New Roman"/>
          <w:color w:val="auto"/>
          <w:sz w:val="24"/>
          <w:highlight w:val="none"/>
        </w:rPr>
        <w:t xml:space="preserve">  </w:t>
      </w:r>
      <w:r>
        <w:rPr>
          <w:rFonts w:ascii="Times New Roman" w:hAnsi="Times New Roman"/>
          <w:color w:val="auto"/>
          <w:sz w:val="24"/>
          <w:highlight w:val="none"/>
        </w:rPr>
        <w:t>期：</w:t>
      </w:r>
    </w:p>
    <w:p w14:paraId="4DF88F8E">
      <w:pPr>
        <w:spacing w:afterLines="50"/>
        <w:jc w:val="center"/>
        <w:rPr>
          <w:rFonts w:ascii="Times New Roman" w:hAnsi="Times New Roman" w:eastAsia="方正小标宋简体"/>
          <w:color w:val="auto"/>
          <w:kern w:val="0"/>
          <w:sz w:val="40"/>
          <w:szCs w:val="40"/>
          <w:highlight w:val="none"/>
        </w:rPr>
      </w:pPr>
      <w:r>
        <w:rPr>
          <w:rFonts w:ascii="Times New Roman" w:hAnsi="Times New Roman" w:eastAsia="方正小标宋简体"/>
          <w:color w:val="auto"/>
          <w:kern w:val="0"/>
          <w:sz w:val="40"/>
          <w:szCs w:val="40"/>
          <w:highlight w:val="none"/>
        </w:rPr>
        <w:t>中小企业划型标准</w:t>
      </w:r>
    </w:p>
    <w:tbl>
      <w:tblPr>
        <w:tblStyle w:val="30"/>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3165F72E">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0F05B5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0ABEC4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46AE1A8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617A816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7379C98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30F5E0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微型企业</w:t>
            </w:r>
          </w:p>
        </w:tc>
      </w:tr>
      <w:tr w14:paraId="2121E738">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0625424A">
            <w:pPr>
              <w:widowControl/>
              <w:spacing w:line="240" w:lineRule="atLeast"/>
              <w:ind w:left="-84" w:leftChars="-40" w:right="-57" w:rightChars="-27"/>
              <w:jc w:val="center"/>
              <w:rPr>
                <w:rFonts w:ascii="Times New Roman" w:hAnsi="Times New Roman"/>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3C43A6F6">
            <w:pPr>
              <w:widowControl/>
              <w:spacing w:line="240" w:lineRule="atLeast"/>
              <w:ind w:left="-84" w:leftChars="-40" w:right="-57" w:rightChars="-27"/>
              <w:jc w:val="left"/>
              <w:rPr>
                <w:rFonts w:ascii="Times New Roman" w:hAnsi="Times New Roman"/>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67C7C1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3885F6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5E307C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15028DC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12C7DE1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09684D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058833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156A7B8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1F9279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349D7B1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0B3EBA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3597F4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5715EC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5B2C3DA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37B77AC8">
            <w:pPr>
              <w:widowControl/>
              <w:spacing w:line="240" w:lineRule="atLeast"/>
              <w:ind w:left="81" w:leftChars="-40" w:right="-57" w:rightChars="-27" w:hanging="165" w:hangingChars="79"/>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4AB6D2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409CC9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1277C5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7B83AC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5337B0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20510B2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71393C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0EB9E4C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091E738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r>
      <w:tr w14:paraId="199E129E">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67A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208033E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035ACF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43AFF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3299044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A8D55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2A2A649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373A6C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307B31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2A0AAA4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31A06E1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F0EF05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558F66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512F1B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E0CB76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658C3E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2B2DF8F9">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237675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31D3126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675D8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6F628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68224E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3EBA66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35BE4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51F4C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767B16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723B6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0E1475A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6CA89B7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F6694A1">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76399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592672CD">
            <w:pPr>
              <w:widowControl/>
              <w:spacing w:line="240" w:lineRule="atLeast"/>
              <w:ind w:left="-84" w:leftChars="-40" w:right="-57" w:rightChars="-27"/>
              <w:jc w:val="left"/>
              <w:rPr>
                <w:rFonts w:ascii="Times New Roman" w:hAnsi="Times New Roman"/>
                <w:color w:val="auto"/>
                <w:kern w:val="0"/>
                <w:szCs w:val="21"/>
                <w:highlight w:val="none"/>
              </w:rPr>
            </w:pPr>
            <w:r>
              <w:rPr>
                <w:rFonts w:hint="eastAsia" w:ascii="Times New Roman" w:hAnsi="Times New Roman"/>
                <w:color w:val="auto"/>
                <w:kern w:val="0"/>
                <w:szCs w:val="21"/>
                <w:highlight w:val="none"/>
                <w:lang w:eastAsia="zh-CN"/>
              </w:rPr>
              <w:t>建筑</w:t>
            </w:r>
            <w:r>
              <w:rPr>
                <w:rFonts w:ascii="Times New Roman" w:hAnsi="Times New Roman"/>
                <w:color w:val="auto"/>
                <w:kern w:val="0"/>
                <w:szCs w:val="21"/>
                <w:highlight w:val="none"/>
              </w:rPr>
              <w:t>业</w:t>
            </w:r>
          </w:p>
        </w:tc>
        <w:tc>
          <w:tcPr>
            <w:tcW w:w="927" w:type="dxa"/>
            <w:tcBorders>
              <w:top w:val="nil"/>
              <w:left w:val="nil"/>
              <w:bottom w:val="single" w:color="auto" w:sz="4" w:space="0"/>
              <w:right w:val="single" w:color="auto" w:sz="4" w:space="0"/>
            </w:tcBorders>
            <w:shd w:val="clear" w:color="auto" w:fill="auto"/>
            <w:noWrap/>
            <w:vAlign w:val="center"/>
          </w:tcPr>
          <w:p w14:paraId="3521CD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38260F1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E71695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488E26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4C7032C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782E87B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6FA41C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4C53EA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65CAB82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018C7B8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5805F1B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4FD7B1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r>
      <w:tr w14:paraId="75A7D1D9">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621A1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39F46E31">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4253E1E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4ED894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5A4D57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8D58B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0C2CE7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5F3A15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BD925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4F22736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C4A0B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35711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082B78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52D2DA4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2D57524">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A514A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6FC0549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1B0D0D1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54E087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36CB37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0AD6C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0E191FC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4F4786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2D5AD2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5C3211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8004BD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DD40B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C9E5F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A73AF9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E51385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71A4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4F1F206A">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3729149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25DF00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4C6B04C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79EF89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14E99B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EBE1AD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A6040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2ECF784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400F96D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99C7A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5A8257E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96815B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CA25E5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CD0B9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03FB3870">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100060D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7853A8D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54809B2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52334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4136BD0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C71D1B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293919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030EFA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0AB7F33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B3A7A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06E62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4D03A8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016E7C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B1AC04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47B3C91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6CF813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4E1484E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17A95D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DF524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FF4AB6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02BFF1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865657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DB666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6040DA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3A788A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E0F10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22D8CE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566116E">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BDF05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116351D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0E8432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60EDDC3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FF07D4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848B7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505759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8C02FE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67C04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F7FF8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003492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74BCA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7DF976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7FDAA5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4F03840">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94A51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233FA7F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74451D7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0D7819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8C614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1D34F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65BCC9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500D36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EA47F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F9D2A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3DB4E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A5B713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6B1923C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80AB4D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414AA4F0">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59173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48E813F7">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7C6EDF0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1238932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4D3CA1A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79100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409C6C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29C343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FF75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A0A285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CCC72F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A959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02ADA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AC9D1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BEB258F">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25C35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58AFA510">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1AC0B7C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548328D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3A9EC1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03DB40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303E3BA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4E894E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34C7A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5C91F9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436C18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4A6D2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3A7D424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E4878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1EFC2EA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BFBD6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69FC8844">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3200A0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240817D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6894C8C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1D3259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1F2C7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65889E8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6FC28F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1807501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51D003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721F858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EA632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098F4EC4">
            <w:pPr>
              <w:widowControl/>
              <w:spacing w:line="240" w:lineRule="atLeast"/>
              <w:ind w:left="27" w:leftChars="-40" w:right="-57" w:rightChars="-27" w:hanging="111" w:hangingChars="53"/>
              <w:jc w:val="center"/>
              <w:rPr>
                <w:rFonts w:ascii="Times New Roman" w:hAnsi="Times New Roman"/>
                <w:color w:val="auto"/>
                <w:kern w:val="0"/>
                <w:szCs w:val="21"/>
                <w:highlight w:val="none"/>
              </w:rPr>
            </w:pPr>
            <w:r>
              <w:rPr>
                <w:rFonts w:ascii="Times New Roman" w:hAnsi="Times New Roman"/>
                <w:color w:val="auto"/>
                <w:kern w:val="0"/>
                <w:szCs w:val="21"/>
                <w:highlight w:val="none"/>
              </w:rPr>
              <w:t>或,＜2000</w:t>
            </w:r>
          </w:p>
        </w:tc>
      </w:tr>
      <w:tr w14:paraId="119CCDD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3CE372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100899B2">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4959BA6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0416053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FB2EB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AC9BEA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CB610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07FEE5B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A0FB10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6E9DCC9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07C790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615648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5781C09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3BCFBC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F284142">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8ADFE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463BF9A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55EFB1A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0DE6AD0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2A933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15F2FBF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4386755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6CF889B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0153BF1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10A0C5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D6488D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1E2E756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2B4A0BA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1755A43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w:t>
            </w:r>
          </w:p>
        </w:tc>
      </w:tr>
      <w:tr w14:paraId="2454CFAC">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216223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6578D9CD">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2090CB6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0338B9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DE8A8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37FFD1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2C3F02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91B9B8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5DCF8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108CC2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DB97DE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5293A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669FD4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92F20E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bl>
    <w:p w14:paraId="4BA8C687">
      <w:pPr>
        <w:spacing w:line="360" w:lineRule="auto"/>
        <w:rPr>
          <w:rFonts w:ascii="Times New Roman" w:hAnsi="Times New Roman"/>
          <w:color w:val="auto"/>
          <w:sz w:val="24"/>
          <w:highlight w:val="none"/>
        </w:rPr>
        <w:sectPr>
          <w:pgSz w:w="16838" w:h="11906" w:orient="landscape"/>
          <w:pgMar w:top="1418" w:right="1418" w:bottom="1418" w:left="1418" w:header="851" w:footer="992" w:gutter="0"/>
          <w:cols w:space="425" w:num="1"/>
          <w:docGrid w:linePitch="312" w:charSpace="0"/>
        </w:sectPr>
      </w:pPr>
    </w:p>
    <w:p w14:paraId="45E70A85">
      <w:pPr>
        <w:adjustRightInd w:val="0"/>
        <w:snapToGrid w:val="0"/>
        <w:spacing w:line="520" w:lineRule="exact"/>
        <w:outlineLvl w:val="0"/>
        <w:rPr>
          <w:rFonts w:ascii="楷体_GB2312" w:hAnsi="Times New Roman" w:eastAsia="楷体_GB2312"/>
          <w:b/>
          <w:color w:val="auto"/>
          <w:sz w:val="28"/>
          <w:szCs w:val="28"/>
          <w:highlight w:val="none"/>
        </w:rPr>
      </w:pP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2</w:t>
      </w:r>
    </w:p>
    <w:p w14:paraId="7A7B6532">
      <w:pPr>
        <w:spacing w:beforeLines="50" w:line="520" w:lineRule="exact"/>
        <w:jc w:val="center"/>
        <w:rPr>
          <w:rFonts w:ascii="Times New Roman" w:hAnsi="Times New Roman" w:eastAsia="方正小标宋简体"/>
          <w:color w:val="auto"/>
          <w:spacing w:val="6"/>
          <w:sz w:val="40"/>
          <w:szCs w:val="40"/>
          <w:highlight w:val="none"/>
        </w:rPr>
      </w:pPr>
      <w:r>
        <w:rPr>
          <w:rFonts w:ascii="Times New Roman" w:hAnsi="Times New Roman" w:eastAsia="方正小标宋简体"/>
          <w:color w:val="auto"/>
          <w:spacing w:val="6"/>
          <w:sz w:val="40"/>
          <w:szCs w:val="40"/>
          <w:highlight w:val="none"/>
        </w:rPr>
        <w:t>残疾人福利性单位声明函</w:t>
      </w:r>
    </w:p>
    <w:p w14:paraId="47D1149F">
      <w:pPr>
        <w:spacing w:line="520" w:lineRule="exact"/>
        <w:ind w:firstLine="626"/>
        <w:rPr>
          <w:rFonts w:ascii="Times New Roman" w:hAnsi="Times New Roman" w:eastAsia="仿宋_GB2312"/>
          <w:b/>
          <w:color w:val="auto"/>
          <w:spacing w:val="6"/>
          <w:sz w:val="30"/>
          <w:szCs w:val="30"/>
          <w:highlight w:val="none"/>
        </w:rPr>
      </w:pPr>
    </w:p>
    <w:p w14:paraId="519C7A6E">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〔2017〕141</w:t>
      </w:r>
      <w:r>
        <w:rPr>
          <w:rFonts w:ascii="宋体" w:hAnsi="宋体"/>
          <w:color w:val="auto"/>
          <w:spacing w:val="6"/>
          <w:sz w:val="24"/>
          <w:szCs w:val="24"/>
          <w:highlight w:val="none"/>
        </w:rPr>
        <w:t>号）的规定，本单位为符合条件的残疾人福利性单位，且本单位参加</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单位的</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E75DA76">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本单位对上述声明的真实性负责。如有虚假，将依法承担相应责任。</w:t>
      </w:r>
    </w:p>
    <w:p w14:paraId="58093F4B">
      <w:pPr>
        <w:spacing w:line="520" w:lineRule="exact"/>
        <w:rPr>
          <w:rFonts w:ascii="宋体" w:hAnsi="宋体"/>
          <w:color w:val="auto"/>
          <w:spacing w:val="6"/>
          <w:sz w:val="24"/>
          <w:szCs w:val="24"/>
          <w:highlight w:val="none"/>
        </w:rPr>
      </w:pPr>
    </w:p>
    <w:p w14:paraId="02ED9072">
      <w:pPr>
        <w:spacing w:line="520" w:lineRule="exact"/>
        <w:rPr>
          <w:rFonts w:ascii="宋体" w:hAnsi="宋体"/>
          <w:color w:val="auto"/>
          <w:spacing w:val="6"/>
          <w:sz w:val="24"/>
          <w:szCs w:val="24"/>
          <w:highlight w:val="none"/>
        </w:rPr>
      </w:pPr>
    </w:p>
    <w:p w14:paraId="52B725A3">
      <w:pPr>
        <w:tabs>
          <w:tab w:val="left" w:pos="4860"/>
        </w:tabs>
        <w:spacing w:line="520" w:lineRule="exact"/>
        <w:ind w:firstLine="4284" w:firstLineChars="1700"/>
        <w:rPr>
          <w:rFonts w:ascii="宋体" w:hAnsi="宋体"/>
          <w:color w:val="auto"/>
          <w:spacing w:val="6"/>
          <w:sz w:val="24"/>
          <w:szCs w:val="24"/>
          <w:highlight w:val="none"/>
        </w:rPr>
      </w:pPr>
      <w:r>
        <w:rPr>
          <w:rFonts w:ascii="宋体" w:hAnsi="宋体"/>
          <w:color w:val="auto"/>
          <w:spacing w:val="6"/>
          <w:sz w:val="24"/>
          <w:szCs w:val="24"/>
          <w:highlight w:val="none"/>
        </w:rPr>
        <w:t>单位名称（盖章）：</w:t>
      </w:r>
    </w:p>
    <w:p w14:paraId="099419A7">
      <w:pPr>
        <w:tabs>
          <w:tab w:val="left" w:pos="4860"/>
        </w:tabs>
        <w:spacing w:line="520" w:lineRule="exact"/>
        <w:ind w:firstLine="4284" w:firstLineChars="1700"/>
        <w:rPr>
          <w:rFonts w:ascii="Times New Roman" w:hAnsi="Times New Roman" w:eastAsia="仿宋_GB2312"/>
          <w:color w:val="auto"/>
          <w:spacing w:val="6"/>
          <w:sz w:val="30"/>
          <w:szCs w:val="30"/>
          <w:highlight w:val="none"/>
        </w:rPr>
      </w:pPr>
      <w:r>
        <w:rPr>
          <w:rFonts w:ascii="宋体" w:hAnsi="宋体"/>
          <w:color w:val="auto"/>
          <w:spacing w:val="6"/>
          <w:sz w:val="24"/>
          <w:szCs w:val="24"/>
          <w:highlight w:val="none"/>
        </w:rPr>
        <w:t>日</w:t>
      </w:r>
      <w:r>
        <w:rPr>
          <w:rFonts w:hint="eastAsia" w:ascii="宋体" w:hAnsi="宋体"/>
          <w:color w:val="auto"/>
          <w:spacing w:val="6"/>
          <w:sz w:val="24"/>
          <w:szCs w:val="24"/>
          <w:highlight w:val="none"/>
        </w:rPr>
        <w:t xml:space="preserve">  </w:t>
      </w:r>
      <w:r>
        <w:rPr>
          <w:rFonts w:ascii="宋体" w:hAnsi="宋体"/>
          <w:color w:val="auto"/>
          <w:spacing w:val="6"/>
          <w:sz w:val="24"/>
          <w:szCs w:val="24"/>
          <w:highlight w:val="none"/>
        </w:rPr>
        <w:t>期：</w:t>
      </w:r>
    </w:p>
    <w:p w14:paraId="35EE7475">
      <w:pPr>
        <w:adjustRightInd w:val="0"/>
        <w:snapToGrid w:val="0"/>
        <w:spacing w:line="520" w:lineRule="exact"/>
        <w:outlineLvl w:val="0"/>
        <w:rPr>
          <w:rFonts w:ascii="Times New Roman"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3</w:t>
      </w:r>
    </w:p>
    <w:p w14:paraId="6BBE520D">
      <w:pPr>
        <w:tabs>
          <w:tab w:val="left" w:pos="7665"/>
        </w:tabs>
        <w:spacing w:beforeLines="50" w:line="640" w:lineRule="exact"/>
        <w:jc w:val="center"/>
        <w:outlineLvl w:val="1"/>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省级以上监狱管理局、戒毒管理局（含新疆生产建设兵团）出具的属于监狱企业的证明文件</w:t>
      </w:r>
      <w:r>
        <w:rPr>
          <w:rFonts w:ascii="Times New Roman" w:hAnsi="Times New Roman" w:eastAsia="方正小标宋简体"/>
          <w:bCs/>
          <w:color w:val="auto"/>
          <w:sz w:val="40"/>
          <w:szCs w:val="40"/>
          <w:highlight w:val="none"/>
        </w:rPr>
        <w:br w:type="textWrapping"/>
      </w:r>
      <w:r>
        <w:rPr>
          <w:rFonts w:ascii="Times New Roman" w:hAnsi="Times New Roman" w:eastAsia="方正小标宋简体"/>
          <w:bCs/>
          <w:color w:val="auto"/>
          <w:sz w:val="40"/>
          <w:szCs w:val="40"/>
          <w:highlight w:val="none"/>
        </w:rPr>
        <w:br w:type="textWrapping"/>
      </w:r>
    </w:p>
    <w:p w14:paraId="7D192DAE">
      <w:pPr>
        <w:widowControl/>
        <w:jc w:val="left"/>
        <w:rPr>
          <w:rFonts w:ascii="Times New Roman" w:hAnsi="Times New Roman"/>
          <w:bCs/>
          <w:color w:val="auto"/>
          <w:sz w:val="32"/>
          <w:szCs w:val="32"/>
          <w:highlight w:val="none"/>
        </w:rPr>
      </w:pPr>
      <w:r>
        <w:rPr>
          <w:rFonts w:ascii="Times New Roman" w:hAnsi="Times New Roman"/>
          <w:bCs/>
          <w:color w:val="auto"/>
          <w:sz w:val="32"/>
          <w:szCs w:val="32"/>
          <w:highlight w:val="none"/>
        </w:rPr>
        <w:br w:type="page"/>
      </w:r>
    </w:p>
    <w:p w14:paraId="1ED88FA1">
      <w:pPr>
        <w:tabs>
          <w:tab w:val="left" w:pos="7665"/>
        </w:tabs>
        <w:spacing w:beforeLines="50"/>
        <w:jc w:val="center"/>
        <w:outlineLvl w:val="1"/>
        <w:rPr>
          <w:rFonts w:ascii="Times New Roman" w:hAnsi="Times New Roman" w:eastAsia="方正小标宋简体"/>
          <w:color w:val="auto"/>
          <w:sz w:val="40"/>
          <w:szCs w:val="40"/>
          <w:highlight w:val="none"/>
        </w:rPr>
      </w:pPr>
      <w:r>
        <w:rPr>
          <w:rFonts w:ascii="Times New Roman" w:hAnsi="Times New Roman" w:eastAsia="方正小标宋简体"/>
          <w:bCs/>
          <w:color w:val="auto"/>
          <w:sz w:val="40"/>
          <w:szCs w:val="40"/>
          <w:highlight w:val="none"/>
        </w:rPr>
        <w:t>其他资格证明文件及资料</w:t>
      </w:r>
    </w:p>
    <w:p w14:paraId="6CB40D4D">
      <w:pPr>
        <w:spacing w:line="360" w:lineRule="auto"/>
        <w:rPr>
          <w:rFonts w:ascii="Times New Roman" w:hAnsi="Times New Roman"/>
          <w:color w:val="auto"/>
          <w:sz w:val="24"/>
          <w:highlight w:val="none"/>
        </w:rPr>
      </w:pPr>
    </w:p>
    <w:p w14:paraId="7332EF36">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2E2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38B1">
    <w:pPr>
      <w:framePr w:wrap="around" w:vAnchor="text" w:hAnchor="margin" w:xAlign="center" w:y="1"/>
    </w:pPr>
    <w:r>
      <w:fldChar w:fldCharType="begin"/>
    </w:r>
    <w:r>
      <w:instrText xml:space="preserve">PAGE  </w:instrText>
    </w:r>
    <w:r>
      <w:fldChar w:fldCharType="separate"/>
    </w:r>
    <w:r>
      <w:t>22</w:t>
    </w:r>
    <w:r>
      <w:fldChar w:fldCharType="end"/>
    </w:r>
  </w:p>
  <w:p w14:paraId="739B668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D9F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002B">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D10E">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20C153B"/>
    <w:multiLevelType w:val="multilevel"/>
    <w:tmpl w:val="420C153B"/>
    <w:lvl w:ilvl="0" w:tentative="0">
      <w:start w:val="1"/>
      <w:numFmt w:val="decimal"/>
      <w:pStyle w:val="12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MTkzZThiOGQ3NzVhZTE0NmU0MDBiZGE2NDlhMGQifQ=="/>
  </w:docVars>
  <w:rsids>
    <w:rsidRoot w:val="00D162AB"/>
    <w:rsid w:val="00010705"/>
    <w:rsid w:val="00033EC6"/>
    <w:rsid w:val="00034A0C"/>
    <w:rsid w:val="00041140"/>
    <w:rsid w:val="00084181"/>
    <w:rsid w:val="00167899"/>
    <w:rsid w:val="001811F5"/>
    <w:rsid w:val="00181A0E"/>
    <w:rsid w:val="00194132"/>
    <w:rsid w:val="001E0689"/>
    <w:rsid w:val="002008CF"/>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6F0A2C"/>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532BA"/>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13B7EAD"/>
    <w:rsid w:val="017008C3"/>
    <w:rsid w:val="01782904"/>
    <w:rsid w:val="032A1114"/>
    <w:rsid w:val="038F2DAE"/>
    <w:rsid w:val="04B31185"/>
    <w:rsid w:val="04C92CD2"/>
    <w:rsid w:val="065B70C2"/>
    <w:rsid w:val="06872DD0"/>
    <w:rsid w:val="07A33E22"/>
    <w:rsid w:val="07ED6491"/>
    <w:rsid w:val="08447C93"/>
    <w:rsid w:val="088153B6"/>
    <w:rsid w:val="08A34169"/>
    <w:rsid w:val="095B568A"/>
    <w:rsid w:val="09772DA0"/>
    <w:rsid w:val="09B64FD2"/>
    <w:rsid w:val="09B76BD5"/>
    <w:rsid w:val="0AA82A61"/>
    <w:rsid w:val="0AF30FD4"/>
    <w:rsid w:val="0C331F13"/>
    <w:rsid w:val="0C8020F6"/>
    <w:rsid w:val="0D356F49"/>
    <w:rsid w:val="0D6A605B"/>
    <w:rsid w:val="0DF52171"/>
    <w:rsid w:val="0E5570DA"/>
    <w:rsid w:val="0E6A098F"/>
    <w:rsid w:val="0F7F2A59"/>
    <w:rsid w:val="0FFA1988"/>
    <w:rsid w:val="103C4234"/>
    <w:rsid w:val="10B869E1"/>
    <w:rsid w:val="10D958AD"/>
    <w:rsid w:val="1122139E"/>
    <w:rsid w:val="113F6B89"/>
    <w:rsid w:val="11693D8D"/>
    <w:rsid w:val="11744805"/>
    <w:rsid w:val="1177233F"/>
    <w:rsid w:val="11DC7041"/>
    <w:rsid w:val="12134F7F"/>
    <w:rsid w:val="12833B72"/>
    <w:rsid w:val="12BB2123"/>
    <w:rsid w:val="12C40987"/>
    <w:rsid w:val="13056E41"/>
    <w:rsid w:val="13BD7B43"/>
    <w:rsid w:val="13C342FE"/>
    <w:rsid w:val="13F32721"/>
    <w:rsid w:val="14813899"/>
    <w:rsid w:val="14EF7D94"/>
    <w:rsid w:val="15493B88"/>
    <w:rsid w:val="155F42CA"/>
    <w:rsid w:val="15873F8E"/>
    <w:rsid w:val="15E01E7A"/>
    <w:rsid w:val="15F41A32"/>
    <w:rsid w:val="16016ACE"/>
    <w:rsid w:val="16774510"/>
    <w:rsid w:val="16BF564C"/>
    <w:rsid w:val="16D84513"/>
    <w:rsid w:val="17030C30"/>
    <w:rsid w:val="17710E75"/>
    <w:rsid w:val="17DE5387"/>
    <w:rsid w:val="18532FCA"/>
    <w:rsid w:val="189217F3"/>
    <w:rsid w:val="19050D72"/>
    <w:rsid w:val="191F622D"/>
    <w:rsid w:val="1A565A8D"/>
    <w:rsid w:val="1A961DAF"/>
    <w:rsid w:val="1AFE0DF2"/>
    <w:rsid w:val="1B3713EE"/>
    <w:rsid w:val="1B530B97"/>
    <w:rsid w:val="1BD45180"/>
    <w:rsid w:val="1C22664F"/>
    <w:rsid w:val="1C4165CF"/>
    <w:rsid w:val="1CEB50A8"/>
    <w:rsid w:val="1D860536"/>
    <w:rsid w:val="1D931460"/>
    <w:rsid w:val="1E061A63"/>
    <w:rsid w:val="1E1A6409"/>
    <w:rsid w:val="1E891F64"/>
    <w:rsid w:val="1E960AAD"/>
    <w:rsid w:val="1EDF6979"/>
    <w:rsid w:val="202239B4"/>
    <w:rsid w:val="20917554"/>
    <w:rsid w:val="21463142"/>
    <w:rsid w:val="21DE1458"/>
    <w:rsid w:val="21E9308A"/>
    <w:rsid w:val="21F72B0B"/>
    <w:rsid w:val="22717E81"/>
    <w:rsid w:val="227F7C1C"/>
    <w:rsid w:val="236E605C"/>
    <w:rsid w:val="237D0BA1"/>
    <w:rsid w:val="23BA24A1"/>
    <w:rsid w:val="24106E30"/>
    <w:rsid w:val="24173BA1"/>
    <w:rsid w:val="242C0C67"/>
    <w:rsid w:val="24820023"/>
    <w:rsid w:val="251D6F7C"/>
    <w:rsid w:val="253A7BA5"/>
    <w:rsid w:val="25D10C9B"/>
    <w:rsid w:val="25FC2044"/>
    <w:rsid w:val="260E356A"/>
    <w:rsid w:val="26B34A16"/>
    <w:rsid w:val="270576B5"/>
    <w:rsid w:val="27351B7B"/>
    <w:rsid w:val="281B1B34"/>
    <w:rsid w:val="28BF07B9"/>
    <w:rsid w:val="29372A1D"/>
    <w:rsid w:val="29713612"/>
    <w:rsid w:val="299A36F9"/>
    <w:rsid w:val="29CD360B"/>
    <w:rsid w:val="2ABD172B"/>
    <w:rsid w:val="2B182AE4"/>
    <w:rsid w:val="2B762F1D"/>
    <w:rsid w:val="2C9F79DB"/>
    <w:rsid w:val="2CEF4FC7"/>
    <w:rsid w:val="2CFD5848"/>
    <w:rsid w:val="2D5346AB"/>
    <w:rsid w:val="2D916CD3"/>
    <w:rsid w:val="2D922E04"/>
    <w:rsid w:val="2DA21723"/>
    <w:rsid w:val="2DC52AB5"/>
    <w:rsid w:val="2DE41DB2"/>
    <w:rsid w:val="2E67407E"/>
    <w:rsid w:val="2EA10705"/>
    <w:rsid w:val="2FFC7235"/>
    <w:rsid w:val="30110DE2"/>
    <w:rsid w:val="30716C9C"/>
    <w:rsid w:val="30770881"/>
    <w:rsid w:val="30A44C2E"/>
    <w:rsid w:val="31390EA4"/>
    <w:rsid w:val="31761F68"/>
    <w:rsid w:val="31D17730"/>
    <w:rsid w:val="32596A50"/>
    <w:rsid w:val="334A0647"/>
    <w:rsid w:val="34354B9C"/>
    <w:rsid w:val="348414AA"/>
    <w:rsid w:val="34A97918"/>
    <w:rsid w:val="355267C2"/>
    <w:rsid w:val="35A12C80"/>
    <w:rsid w:val="35E04E23"/>
    <w:rsid w:val="35EC476A"/>
    <w:rsid w:val="363870C8"/>
    <w:rsid w:val="363D6EEF"/>
    <w:rsid w:val="376F053F"/>
    <w:rsid w:val="37FF59C4"/>
    <w:rsid w:val="384821B6"/>
    <w:rsid w:val="38736E43"/>
    <w:rsid w:val="3913588E"/>
    <w:rsid w:val="395E7894"/>
    <w:rsid w:val="39FA4695"/>
    <w:rsid w:val="39FD3577"/>
    <w:rsid w:val="3A6F2700"/>
    <w:rsid w:val="3AB65D80"/>
    <w:rsid w:val="3AE42408"/>
    <w:rsid w:val="3B630514"/>
    <w:rsid w:val="3BC55BFA"/>
    <w:rsid w:val="3C6A7233"/>
    <w:rsid w:val="3C9616AD"/>
    <w:rsid w:val="3CB47D3A"/>
    <w:rsid w:val="3CE2059C"/>
    <w:rsid w:val="3DB27D86"/>
    <w:rsid w:val="3DC65DEE"/>
    <w:rsid w:val="3DCF4C0F"/>
    <w:rsid w:val="3DE16AAB"/>
    <w:rsid w:val="3DF41483"/>
    <w:rsid w:val="3E284B33"/>
    <w:rsid w:val="3E33186C"/>
    <w:rsid w:val="3E7078AD"/>
    <w:rsid w:val="3EF31B88"/>
    <w:rsid w:val="3F6B126C"/>
    <w:rsid w:val="3FB34753"/>
    <w:rsid w:val="405F34A4"/>
    <w:rsid w:val="409D74F7"/>
    <w:rsid w:val="40BC621F"/>
    <w:rsid w:val="40DE47C2"/>
    <w:rsid w:val="417236BD"/>
    <w:rsid w:val="420D1F6A"/>
    <w:rsid w:val="42824708"/>
    <w:rsid w:val="43061124"/>
    <w:rsid w:val="43103835"/>
    <w:rsid w:val="433A4012"/>
    <w:rsid w:val="43A203E1"/>
    <w:rsid w:val="43C23161"/>
    <w:rsid w:val="44274B02"/>
    <w:rsid w:val="447A254D"/>
    <w:rsid w:val="44ED1301"/>
    <w:rsid w:val="450014D8"/>
    <w:rsid w:val="452631EF"/>
    <w:rsid w:val="46011816"/>
    <w:rsid w:val="46474BA6"/>
    <w:rsid w:val="467A3478"/>
    <w:rsid w:val="46984247"/>
    <w:rsid w:val="475E7202"/>
    <w:rsid w:val="476B3F5E"/>
    <w:rsid w:val="477119F3"/>
    <w:rsid w:val="477C5493"/>
    <w:rsid w:val="47B02837"/>
    <w:rsid w:val="480D494A"/>
    <w:rsid w:val="481100A0"/>
    <w:rsid w:val="48322C8D"/>
    <w:rsid w:val="485C5C20"/>
    <w:rsid w:val="48FE60E2"/>
    <w:rsid w:val="490F4FF1"/>
    <w:rsid w:val="492C7066"/>
    <w:rsid w:val="49336098"/>
    <w:rsid w:val="49395E60"/>
    <w:rsid w:val="49451FF9"/>
    <w:rsid w:val="49762083"/>
    <w:rsid w:val="498F00A3"/>
    <w:rsid w:val="4A6A6EE9"/>
    <w:rsid w:val="4A975748"/>
    <w:rsid w:val="4C924994"/>
    <w:rsid w:val="4D0A5D23"/>
    <w:rsid w:val="4D190DFF"/>
    <w:rsid w:val="4DBD0458"/>
    <w:rsid w:val="4E380C0D"/>
    <w:rsid w:val="4E4044A1"/>
    <w:rsid w:val="4E940D15"/>
    <w:rsid w:val="4EA3596B"/>
    <w:rsid w:val="4FAD3B0D"/>
    <w:rsid w:val="4FB11619"/>
    <w:rsid w:val="4FBA7F30"/>
    <w:rsid w:val="50FC794E"/>
    <w:rsid w:val="51252528"/>
    <w:rsid w:val="51952632"/>
    <w:rsid w:val="51CB0999"/>
    <w:rsid w:val="52723C57"/>
    <w:rsid w:val="529B6A92"/>
    <w:rsid w:val="52D56B6F"/>
    <w:rsid w:val="532C2296"/>
    <w:rsid w:val="539D33C6"/>
    <w:rsid w:val="53D52BDE"/>
    <w:rsid w:val="54F4281A"/>
    <w:rsid w:val="553C537D"/>
    <w:rsid w:val="559612BE"/>
    <w:rsid w:val="55A5547E"/>
    <w:rsid w:val="563B06BA"/>
    <w:rsid w:val="563E3516"/>
    <w:rsid w:val="565D1067"/>
    <w:rsid w:val="575C0BDF"/>
    <w:rsid w:val="58513E72"/>
    <w:rsid w:val="585E7AD4"/>
    <w:rsid w:val="586914C9"/>
    <w:rsid w:val="58810003"/>
    <w:rsid w:val="594929E2"/>
    <w:rsid w:val="595652B9"/>
    <w:rsid w:val="59826EF4"/>
    <w:rsid w:val="5A17456D"/>
    <w:rsid w:val="5A1E3552"/>
    <w:rsid w:val="5A395966"/>
    <w:rsid w:val="5A404574"/>
    <w:rsid w:val="5ABE2569"/>
    <w:rsid w:val="5AC149D1"/>
    <w:rsid w:val="5B087E7D"/>
    <w:rsid w:val="5BB82D83"/>
    <w:rsid w:val="5C1475C5"/>
    <w:rsid w:val="5CD64696"/>
    <w:rsid w:val="5D417684"/>
    <w:rsid w:val="5D5019C9"/>
    <w:rsid w:val="5E802B94"/>
    <w:rsid w:val="5E803DA0"/>
    <w:rsid w:val="5F1236F4"/>
    <w:rsid w:val="5F7A5624"/>
    <w:rsid w:val="6003343B"/>
    <w:rsid w:val="60645C47"/>
    <w:rsid w:val="61887F1D"/>
    <w:rsid w:val="62797E6D"/>
    <w:rsid w:val="62A75FD0"/>
    <w:rsid w:val="62E459D7"/>
    <w:rsid w:val="633968D4"/>
    <w:rsid w:val="633A2820"/>
    <w:rsid w:val="63671099"/>
    <w:rsid w:val="63742579"/>
    <w:rsid w:val="64F447E8"/>
    <w:rsid w:val="652766C4"/>
    <w:rsid w:val="65E4162C"/>
    <w:rsid w:val="65EA2A17"/>
    <w:rsid w:val="663B74EE"/>
    <w:rsid w:val="66D9261C"/>
    <w:rsid w:val="6748768B"/>
    <w:rsid w:val="67937431"/>
    <w:rsid w:val="67B15F5A"/>
    <w:rsid w:val="67C13FF2"/>
    <w:rsid w:val="67CE5940"/>
    <w:rsid w:val="681D019D"/>
    <w:rsid w:val="6851298A"/>
    <w:rsid w:val="68AA368F"/>
    <w:rsid w:val="68D51CA5"/>
    <w:rsid w:val="696C641C"/>
    <w:rsid w:val="69CE6AF6"/>
    <w:rsid w:val="69F91E53"/>
    <w:rsid w:val="6AFE3884"/>
    <w:rsid w:val="6B3E1D84"/>
    <w:rsid w:val="6B726176"/>
    <w:rsid w:val="6B832218"/>
    <w:rsid w:val="6B955760"/>
    <w:rsid w:val="6BFC4C7D"/>
    <w:rsid w:val="6C013715"/>
    <w:rsid w:val="6C9908C6"/>
    <w:rsid w:val="6CEC7E21"/>
    <w:rsid w:val="6D686D93"/>
    <w:rsid w:val="6DFD6C3C"/>
    <w:rsid w:val="6ED574AD"/>
    <w:rsid w:val="6FAE422F"/>
    <w:rsid w:val="70312742"/>
    <w:rsid w:val="70545BA6"/>
    <w:rsid w:val="71560152"/>
    <w:rsid w:val="71844E95"/>
    <w:rsid w:val="71AA1B88"/>
    <w:rsid w:val="72B22DEF"/>
    <w:rsid w:val="72E3653F"/>
    <w:rsid w:val="730A6739"/>
    <w:rsid w:val="73837051"/>
    <w:rsid w:val="740902FE"/>
    <w:rsid w:val="7475751A"/>
    <w:rsid w:val="7476690B"/>
    <w:rsid w:val="74992390"/>
    <w:rsid w:val="74A51D1B"/>
    <w:rsid w:val="74E65F98"/>
    <w:rsid w:val="76154B14"/>
    <w:rsid w:val="76273647"/>
    <w:rsid w:val="763D4BBD"/>
    <w:rsid w:val="76502448"/>
    <w:rsid w:val="765B1CFD"/>
    <w:rsid w:val="779900D6"/>
    <w:rsid w:val="781E1E57"/>
    <w:rsid w:val="78440411"/>
    <w:rsid w:val="78E96C62"/>
    <w:rsid w:val="79515BC7"/>
    <w:rsid w:val="79757DA8"/>
    <w:rsid w:val="79B34566"/>
    <w:rsid w:val="79CD6F0E"/>
    <w:rsid w:val="7AF1725D"/>
    <w:rsid w:val="7B0E793B"/>
    <w:rsid w:val="7C137EC4"/>
    <w:rsid w:val="7C6E019E"/>
    <w:rsid w:val="7C9E0E9E"/>
    <w:rsid w:val="7D1B66D9"/>
    <w:rsid w:val="7D374273"/>
    <w:rsid w:val="7DCD31C0"/>
    <w:rsid w:val="7E0101B4"/>
    <w:rsid w:val="7E35563A"/>
    <w:rsid w:val="7EC62EA1"/>
    <w:rsid w:val="7F124FDD"/>
    <w:rsid w:val="7FCC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4">
    <w:name w:val="heading 2"/>
    <w:basedOn w:val="1"/>
    <w:next w:val="1"/>
    <w:link w:val="43"/>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5">
    <w:name w:val="heading 3"/>
    <w:basedOn w:val="1"/>
    <w:next w:val="1"/>
    <w:link w:val="44"/>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6">
    <w:name w:val="heading 4"/>
    <w:basedOn w:val="1"/>
    <w:next w:val="1"/>
    <w:link w:val="45"/>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7">
    <w:name w:val="heading 5"/>
    <w:basedOn w:val="1"/>
    <w:next w:val="1"/>
    <w:link w:val="46"/>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8">
    <w:name w:val="heading 6"/>
    <w:basedOn w:val="1"/>
    <w:next w:val="1"/>
    <w:link w:val="47"/>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48"/>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10">
    <w:name w:val="heading 8"/>
    <w:basedOn w:val="1"/>
    <w:next w:val="1"/>
    <w:link w:val="4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5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6"/>
    <w:autoRedefine/>
    <w:qFormat/>
    <w:uiPriority w:val="0"/>
    <w:pPr>
      <w:spacing w:line="420" w:lineRule="auto"/>
    </w:pPr>
    <w:rPr>
      <w:rFonts w:ascii="Times New Roman" w:hAnsi="Times New Roman"/>
      <w:sz w:val="24"/>
      <w:szCs w:val="24"/>
    </w:rPr>
  </w:style>
  <w:style w:type="paragraph" w:styleId="12">
    <w:name w:val="Normal Indent"/>
    <w:basedOn w:val="1"/>
    <w:link w:val="63"/>
    <w:autoRedefine/>
    <w:qFormat/>
    <w:uiPriority w:val="0"/>
    <w:pPr>
      <w:ind w:firstLine="420"/>
    </w:pPr>
  </w:style>
  <w:style w:type="paragraph" w:styleId="13">
    <w:name w:val="List Bullet"/>
    <w:basedOn w:val="1"/>
    <w:autoRedefine/>
    <w:qFormat/>
    <w:uiPriority w:val="0"/>
    <w:pPr>
      <w:numPr>
        <w:ilvl w:val="0"/>
        <w:numId w:val="2"/>
      </w:numPr>
    </w:pPr>
    <w:rPr>
      <w:rFonts w:ascii="Times New Roman" w:hAnsi="Times New Roman"/>
      <w:szCs w:val="24"/>
    </w:rPr>
  </w:style>
  <w:style w:type="paragraph" w:styleId="14">
    <w:name w:val="Document Map"/>
    <w:basedOn w:val="1"/>
    <w:link w:val="59"/>
    <w:autoRedefine/>
    <w:semiHidden/>
    <w:qFormat/>
    <w:uiPriority w:val="0"/>
    <w:rPr>
      <w:rFonts w:ascii="Heiti SC Light" w:eastAsia="Times New Roman"/>
      <w:sz w:val="24"/>
      <w:szCs w:val="24"/>
    </w:rPr>
  </w:style>
  <w:style w:type="paragraph" w:styleId="15">
    <w:name w:val="annotation text"/>
    <w:basedOn w:val="1"/>
    <w:link w:val="65"/>
    <w:autoRedefine/>
    <w:qFormat/>
    <w:uiPriority w:val="0"/>
    <w:pPr>
      <w:jc w:val="left"/>
    </w:pPr>
    <w:rPr>
      <w:rFonts w:asciiTheme="minorHAnsi" w:hAnsiTheme="minorHAnsi" w:eastAsiaTheme="minorEastAsia" w:cstheme="minorBidi"/>
      <w:sz w:val="28"/>
    </w:rPr>
  </w:style>
  <w:style w:type="paragraph" w:styleId="16">
    <w:name w:val="Body Text Indent"/>
    <w:basedOn w:val="1"/>
    <w:link w:val="54"/>
    <w:autoRedefine/>
    <w:qFormat/>
    <w:uiPriority w:val="0"/>
    <w:pPr>
      <w:ind w:firstLine="600"/>
    </w:pPr>
    <w:rPr>
      <w:rFonts w:ascii="Times New Roman" w:hAnsi="Times New Roman"/>
      <w:sz w:val="32"/>
      <w:szCs w:val="20"/>
    </w:rPr>
  </w:style>
  <w:style w:type="paragraph" w:styleId="17">
    <w:name w:val="toc 3"/>
    <w:basedOn w:val="1"/>
    <w:next w:val="1"/>
    <w:autoRedefine/>
    <w:qFormat/>
    <w:uiPriority w:val="0"/>
    <w:pPr>
      <w:ind w:left="840" w:leftChars="400"/>
    </w:pPr>
    <w:rPr>
      <w:rFonts w:ascii="Times New Roman" w:hAnsi="Times New Roman"/>
      <w:szCs w:val="24"/>
    </w:rPr>
  </w:style>
  <w:style w:type="paragraph" w:styleId="18">
    <w:name w:val="Plain Text"/>
    <w:basedOn w:val="1"/>
    <w:link w:val="53"/>
    <w:autoRedefine/>
    <w:qFormat/>
    <w:uiPriority w:val="0"/>
    <w:rPr>
      <w:rFonts w:ascii="宋体" w:hAnsi="Courier New" w:cs="Courier New"/>
      <w:szCs w:val="21"/>
    </w:rPr>
  </w:style>
  <w:style w:type="paragraph" w:styleId="19">
    <w:name w:val="Date"/>
    <w:basedOn w:val="1"/>
    <w:next w:val="1"/>
    <w:link w:val="116"/>
    <w:autoRedefine/>
    <w:qFormat/>
    <w:uiPriority w:val="99"/>
    <w:pPr>
      <w:ind w:left="100" w:leftChars="2500"/>
    </w:pPr>
    <w:rPr>
      <w:rFonts w:ascii="Times New Roman" w:hAnsi="Times New Roman"/>
      <w:sz w:val="28"/>
      <w:szCs w:val="24"/>
    </w:rPr>
  </w:style>
  <w:style w:type="paragraph" w:styleId="20">
    <w:name w:val="Body Text Indent 2"/>
    <w:basedOn w:val="1"/>
    <w:link w:val="114"/>
    <w:autoRedefine/>
    <w:qFormat/>
    <w:uiPriority w:val="0"/>
    <w:pPr>
      <w:spacing w:after="120" w:line="480" w:lineRule="auto"/>
      <w:ind w:left="420" w:leftChars="200"/>
    </w:pPr>
    <w:rPr>
      <w:rFonts w:ascii="Times New Roman" w:hAnsi="Times New Roman"/>
      <w:sz w:val="28"/>
      <w:szCs w:val="24"/>
    </w:rPr>
  </w:style>
  <w:style w:type="paragraph" w:styleId="21">
    <w:name w:val="Balloon Text"/>
    <w:basedOn w:val="1"/>
    <w:link w:val="55"/>
    <w:autoRedefine/>
    <w:unhideWhenUsed/>
    <w:qFormat/>
    <w:uiPriority w:val="99"/>
    <w:rPr>
      <w:rFonts w:ascii="Times New Roman" w:hAnsi="Times New Roman"/>
      <w:sz w:val="18"/>
      <w:szCs w:val="18"/>
    </w:rPr>
  </w:style>
  <w:style w:type="paragraph" w:styleId="22">
    <w:name w:val="footer"/>
    <w:basedOn w:val="1"/>
    <w:link w:val="52"/>
    <w:autoRedefine/>
    <w:unhideWhenUsed/>
    <w:qFormat/>
    <w:uiPriority w:val="99"/>
    <w:pPr>
      <w:tabs>
        <w:tab w:val="center" w:pos="4153"/>
        <w:tab w:val="right" w:pos="8306"/>
      </w:tabs>
      <w:snapToGrid w:val="0"/>
      <w:jc w:val="left"/>
    </w:pPr>
    <w:rPr>
      <w:sz w:val="18"/>
      <w:szCs w:val="18"/>
    </w:rPr>
  </w:style>
  <w:style w:type="paragraph" w:styleId="23">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rPr>
      <w:rFonts w:ascii="Times New Roman" w:hAnsi="Times New Roman"/>
      <w:szCs w:val="24"/>
    </w:rPr>
  </w:style>
  <w:style w:type="paragraph" w:styleId="25">
    <w:name w:val="Body Text Indent 3"/>
    <w:basedOn w:val="1"/>
    <w:link w:val="70"/>
    <w:autoRedefine/>
    <w:qFormat/>
    <w:uiPriority w:val="0"/>
    <w:pPr>
      <w:spacing w:after="120"/>
      <w:ind w:left="420" w:leftChars="200"/>
    </w:pPr>
    <w:rPr>
      <w:rFonts w:ascii="Times New Roman" w:hAnsi="Times New Roman"/>
      <w:sz w:val="16"/>
      <w:szCs w:val="16"/>
    </w:rPr>
  </w:style>
  <w:style w:type="paragraph" w:styleId="26">
    <w:name w:val="Body Text 2"/>
    <w:basedOn w:val="1"/>
    <w:link w:val="115"/>
    <w:autoRedefine/>
    <w:qFormat/>
    <w:uiPriority w:val="0"/>
    <w:pPr>
      <w:spacing w:after="120" w:line="480" w:lineRule="auto"/>
    </w:pPr>
    <w:rPr>
      <w:rFonts w:ascii="Times New Roman" w:hAnsi="Times New Roman"/>
      <w:sz w:val="28"/>
      <w:szCs w:val="24"/>
    </w:rPr>
  </w:style>
  <w:style w:type="paragraph" w:styleId="27">
    <w:name w:val="Normal (Web)"/>
    <w:basedOn w:val="1"/>
    <w:autoRedefine/>
    <w:qFormat/>
    <w:uiPriority w:val="0"/>
    <w:rPr>
      <w:rFonts w:ascii="Times New Roman" w:hAnsi="Times New Roman"/>
      <w:sz w:val="24"/>
      <w:szCs w:val="20"/>
    </w:rPr>
  </w:style>
  <w:style w:type="paragraph" w:styleId="28">
    <w:name w:val="Title"/>
    <w:basedOn w:val="1"/>
    <w:next w:val="1"/>
    <w:link w:val="72"/>
    <w:autoRedefine/>
    <w:qFormat/>
    <w:uiPriority w:val="0"/>
    <w:pPr>
      <w:spacing w:before="240" w:after="60"/>
      <w:jc w:val="center"/>
      <w:outlineLvl w:val="0"/>
    </w:pPr>
    <w:rPr>
      <w:rFonts w:ascii="Cambria" w:hAnsi="Cambria"/>
      <w:b/>
      <w:bCs/>
      <w:sz w:val="32"/>
      <w:szCs w:val="32"/>
    </w:rPr>
  </w:style>
  <w:style w:type="paragraph" w:styleId="29">
    <w:name w:val="Body Text First Indent 2"/>
    <w:basedOn w:val="16"/>
    <w:link w:val="123"/>
    <w:autoRedefine/>
    <w:unhideWhenUsed/>
    <w:qFormat/>
    <w:uiPriority w:val="0"/>
    <w:pPr>
      <w:spacing w:after="120"/>
      <w:ind w:left="420" w:leftChars="200" w:firstLine="420" w:firstLineChars="200"/>
    </w:pPr>
    <w:rPr>
      <w:rFonts w:ascii="Calibri" w:hAnsi="Calibri"/>
      <w:sz w:val="21"/>
      <w:szCs w:val="21"/>
    </w:rPr>
  </w:style>
  <w:style w:type="table" w:styleId="31">
    <w:name w:val="Table Grid"/>
    <w:basedOn w:val="30"/>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page number"/>
    <w:autoRedefine/>
    <w:qFormat/>
    <w:uiPriority w:val="0"/>
  </w:style>
  <w:style w:type="character" w:styleId="35">
    <w:name w:val="FollowedHyperlink"/>
    <w:autoRedefine/>
    <w:qFormat/>
    <w:uiPriority w:val="0"/>
    <w:rPr>
      <w:color w:val="800080"/>
      <w:u w:val="single"/>
    </w:rPr>
  </w:style>
  <w:style w:type="character" w:styleId="36">
    <w:name w:val="HTML Definition"/>
    <w:basedOn w:val="32"/>
    <w:autoRedefine/>
    <w:semiHidden/>
    <w:unhideWhenUsed/>
    <w:qFormat/>
    <w:uiPriority w:val="99"/>
    <w:rPr>
      <w:i/>
      <w:shd w:val="clear" w:fill="5CB85C"/>
    </w:rPr>
  </w:style>
  <w:style w:type="character" w:styleId="37">
    <w:name w:val="Hyperlink"/>
    <w:basedOn w:val="32"/>
    <w:autoRedefine/>
    <w:qFormat/>
    <w:uiPriority w:val="0"/>
    <w:rPr>
      <w:color w:val="0000FF"/>
      <w:u w:val="single"/>
    </w:rPr>
  </w:style>
  <w:style w:type="character" w:styleId="38">
    <w:name w:val="HTML Code"/>
    <w:basedOn w:val="32"/>
    <w:autoRedefine/>
    <w:semiHidden/>
    <w:unhideWhenUsed/>
    <w:qFormat/>
    <w:uiPriority w:val="99"/>
    <w:rPr>
      <w:rFonts w:hint="default" w:ascii="Consolas" w:hAnsi="Consolas" w:eastAsia="Consolas" w:cs="Consolas"/>
      <w:color w:val="C7254E"/>
      <w:sz w:val="21"/>
      <w:szCs w:val="21"/>
      <w:shd w:val="clear" w:fill="F9F2F4"/>
    </w:rPr>
  </w:style>
  <w:style w:type="character" w:styleId="39">
    <w:name w:val="annotation reference"/>
    <w:autoRedefine/>
    <w:qFormat/>
    <w:uiPriority w:val="0"/>
    <w:rPr>
      <w:sz w:val="21"/>
    </w:rPr>
  </w:style>
  <w:style w:type="character" w:styleId="40">
    <w:name w:val="HTML Keyboard"/>
    <w:basedOn w:val="32"/>
    <w:autoRedefine/>
    <w:semiHidden/>
    <w:unhideWhenUsed/>
    <w:qFormat/>
    <w:uiPriority w:val="99"/>
    <w:rPr>
      <w:rFonts w:ascii="Consolas" w:hAnsi="Consolas" w:eastAsia="Consolas" w:cs="Consolas"/>
      <w:color w:val="FFFFFF"/>
      <w:sz w:val="21"/>
      <w:szCs w:val="21"/>
      <w:shd w:val="clear" w:fill="333333"/>
    </w:rPr>
  </w:style>
  <w:style w:type="character" w:styleId="41">
    <w:name w:val="HTML Sample"/>
    <w:basedOn w:val="32"/>
    <w:autoRedefine/>
    <w:semiHidden/>
    <w:unhideWhenUsed/>
    <w:qFormat/>
    <w:uiPriority w:val="99"/>
    <w:rPr>
      <w:rFonts w:hint="default" w:ascii="Consolas" w:hAnsi="Consolas" w:eastAsia="Consolas" w:cs="Consolas"/>
      <w:sz w:val="21"/>
      <w:szCs w:val="21"/>
    </w:rPr>
  </w:style>
  <w:style w:type="character" w:customStyle="1" w:styleId="42">
    <w:name w:val="标题 1 Char"/>
    <w:basedOn w:val="32"/>
    <w:link w:val="3"/>
    <w:autoRedefine/>
    <w:qFormat/>
    <w:uiPriority w:val="9"/>
    <w:rPr>
      <w:rFonts w:ascii="Calibri" w:hAnsi="Calibri" w:eastAsia="仿宋" w:cs="Times New Roman"/>
      <w:b/>
      <w:bCs/>
      <w:kern w:val="44"/>
      <w:sz w:val="30"/>
      <w:szCs w:val="44"/>
    </w:rPr>
  </w:style>
  <w:style w:type="character" w:customStyle="1" w:styleId="43">
    <w:name w:val="标题 2 Char"/>
    <w:basedOn w:val="32"/>
    <w:link w:val="4"/>
    <w:autoRedefine/>
    <w:qFormat/>
    <w:uiPriority w:val="9"/>
    <w:rPr>
      <w:rFonts w:ascii="Cambria" w:hAnsi="Cambria" w:eastAsia="宋体" w:cs="Times New Roman"/>
      <w:b/>
      <w:bCs/>
      <w:sz w:val="28"/>
      <w:szCs w:val="32"/>
    </w:rPr>
  </w:style>
  <w:style w:type="character" w:customStyle="1" w:styleId="44">
    <w:name w:val="标题 3 Char"/>
    <w:basedOn w:val="32"/>
    <w:link w:val="5"/>
    <w:autoRedefine/>
    <w:qFormat/>
    <w:uiPriority w:val="0"/>
    <w:rPr>
      <w:rFonts w:ascii="Calibri" w:hAnsi="Calibri" w:eastAsia="宋体" w:cs="Times New Roman"/>
      <w:b/>
      <w:bCs/>
      <w:sz w:val="32"/>
      <w:szCs w:val="32"/>
    </w:rPr>
  </w:style>
  <w:style w:type="character" w:customStyle="1" w:styleId="45">
    <w:name w:val="标题 4 Char"/>
    <w:basedOn w:val="32"/>
    <w:link w:val="6"/>
    <w:autoRedefine/>
    <w:qFormat/>
    <w:uiPriority w:val="0"/>
    <w:rPr>
      <w:rFonts w:ascii="Cambria" w:hAnsi="Cambria" w:eastAsia="宋体" w:cs="Times New Roman"/>
      <w:b/>
      <w:bCs/>
      <w:sz w:val="28"/>
      <w:szCs w:val="28"/>
    </w:rPr>
  </w:style>
  <w:style w:type="character" w:customStyle="1" w:styleId="46">
    <w:name w:val="标题 5 Char"/>
    <w:basedOn w:val="32"/>
    <w:link w:val="7"/>
    <w:autoRedefine/>
    <w:qFormat/>
    <w:uiPriority w:val="0"/>
    <w:rPr>
      <w:rFonts w:ascii="Times New Roman" w:hAnsi="Times New Roman" w:eastAsia="宋体" w:cs="Times New Roman"/>
      <w:b/>
      <w:bCs/>
      <w:kern w:val="0"/>
      <w:sz w:val="28"/>
      <w:szCs w:val="28"/>
    </w:rPr>
  </w:style>
  <w:style w:type="character" w:customStyle="1" w:styleId="47">
    <w:name w:val="标题 6 Char"/>
    <w:basedOn w:val="32"/>
    <w:link w:val="8"/>
    <w:autoRedefine/>
    <w:qFormat/>
    <w:uiPriority w:val="0"/>
    <w:rPr>
      <w:rFonts w:ascii="Arial" w:hAnsi="Arial" w:eastAsia="黑体" w:cs="Times New Roman"/>
      <w:b/>
      <w:bCs/>
      <w:kern w:val="0"/>
      <w:sz w:val="24"/>
      <w:szCs w:val="24"/>
    </w:rPr>
  </w:style>
  <w:style w:type="character" w:customStyle="1" w:styleId="48">
    <w:name w:val="标题 7 Char"/>
    <w:basedOn w:val="32"/>
    <w:link w:val="9"/>
    <w:autoRedefine/>
    <w:qFormat/>
    <w:uiPriority w:val="0"/>
    <w:rPr>
      <w:rFonts w:ascii="Times New Roman" w:hAnsi="Times New Roman" w:eastAsia="宋体" w:cs="Times New Roman"/>
      <w:b/>
      <w:bCs/>
      <w:kern w:val="0"/>
      <w:sz w:val="24"/>
      <w:szCs w:val="24"/>
    </w:rPr>
  </w:style>
  <w:style w:type="character" w:customStyle="1" w:styleId="49">
    <w:name w:val="标题 8 Char"/>
    <w:basedOn w:val="32"/>
    <w:link w:val="10"/>
    <w:autoRedefine/>
    <w:qFormat/>
    <w:uiPriority w:val="0"/>
    <w:rPr>
      <w:rFonts w:ascii="Arial" w:hAnsi="Arial" w:eastAsia="黑体" w:cs="Times New Roman"/>
      <w:kern w:val="0"/>
      <w:sz w:val="24"/>
      <w:szCs w:val="24"/>
    </w:rPr>
  </w:style>
  <w:style w:type="character" w:customStyle="1" w:styleId="50">
    <w:name w:val="标题 9 Char"/>
    <w:basedOn w:val="32"/>
    <w:link w:val="11"/>
    <w:autoRedefine/>
    <w:qFormat/>
    <w:uiPriority w:val="0"/>
    <w:rPr>
      <w:rFonts w:ascii="Arial" w:hAnsi="Arial" w:eastAsia="黑体" w:cs="Times New Roman"/>
      <w:kern w:val="0"/>
      <w:szCs w:val="21"/>
    </w:rPr>
  </w:style>
  <w:style w:type="character" w:customStyle="1" w:styleId="51">
    <w:name w:val="页眉 Char"/>
    <w:basedOn w:val="32"/>
    <w:link w:val="23"/>
    <w:autoRedefine/>
    <w:qFormat/>
    <w:uiPriority w:val="99"/>
    <w:rPr>
      <w:rFonts w:ascii="Calibri" w:hAnsi="Calibri" w:eastAsia="宋体" w:cs="Times New Roman"/>
      <w:sz w:val="18"/>
      <w:szCs w:val="18"/>
    </w:rPr>
  </w:style>
  <w:style w:type="character" w:customStyle="1" w:styleId="52">
    <w:name w:val="页脚 Char"/>
    <w:basedOn w:val="32"/>
    <w:link w:val="22"/>
    <w:autoRedefine/>
    <w:qFormat/>
    <w:uiPriority w:val="99"/>
    <w:rPr>
      <w:rFonts w:ascii="Calibri" w:hAnsi="Calibri" w:eastAsia="宋体" w:cs="Times New Roman"/>
      <w:sz w:val="18"/>
      <w:szCs w:val="18"/>
    </w:rPr>
  </w:style>
  <w:style w:type="character" w:customStyle="1" w:styleId="53">
    <w:name w:val="纯文本 Char"/>
    <w:basedOn w:val="32"/>
    <w:link w:val="18"/>
    <w:autoRedefine/>
    <w:qFormat/>
    <w:uiPriority w:val="0"/>
    <w:rPr>
      <w:rFonts w:ascii="宋体" w:hAnsi="Courier New" w:eastAsia="宋体" w:cs="Courier New"/>
      <w:szCs w:val="21"/>
    </w:rPr>
  </w:style>
  <w:style w:type="character" w:customStyle="1" w:styleId="54">
    <w:name w:val="正文文本缩进 Char"/>
    <w:basedOn w:val="32"/>
    <w:link w:val="16"/>
    <w:autoRedefine/>
    <w:qFormat/>
    <w:uiPriority w:val="0"/>
    <w:rPr>
      <w:rFonts w:ascii="Times New Roman" w:hAnsi="Times New Roman" w:eastAsia="宋体" w:cs="Times New Roman"/>
      <w:sz w:val="32"/>
      <w:szCs w:val="20"/>
    </w:rPr>
  </w:style>
  <w:style w:type="character" w:customStyle="1" w:styleId="55">
    <w:name w:val="批注框文本 Char"/>
    <w:basedOn w:val="32"/>
    <w:link w:val="21"/>
    <w:autoRedefine/>
    <w:qFormat/>
    <w:uiPriority w:val="99"/>
    <w:rPr>
      <w:rFonts w:ascii="Times New Roman" w:hAnsi="Times New Roman" w:eastAsia="宋体" w:cs="Times New Roman"/>
      <w:sz w:val="18"/>
      <w:szCs w:val="18"/>
    </w:rPr>
  </w:style>
  <w:style w:type="paragraph" w:styleId="56">
    <w:name w:val="List Paragraph"/>
    <w:basedOn w:val="1"/>
    <w:autoRedefine/>
    <w:qFormat/>
    <w:uiPriority w:val="0"/>
    <w:pPr>
      <w:ind w:firstLine="420" w:firstLineChars="200"/>
    </w:pPr>
    <w:rPr>
      <w:rFonts w:ascii="Times New Roman" w:hAnsi="Times New Roman"/>
      <w:sz w:val="28"/>
      <w:szCs w:val="24"/>
    </w:rPr>
  </w:style>
  <w:style w:type="paragraph" w:customStyle="1" w:styleId="57">
    <w:name w:val="列出段落1"/>
    <w:basedOn w:val="1"/>
    <w:autoRedefine/>
    <w:qFormat/>
    <w:uiPriority w:val="0"/>
    <w:pPr>
      <w:ind w:firstLine="420" w:firstLineChars="200"/>
    </w:pPr>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文档结构图 Char"/>
    <w:basedOn w:val="32"/>
    <w:link w:val="14"/>
    <w:autoRedefine/>
    <w:semiHidden/>
    <w:qFormat/>
    <w:uiPriority w:val="0"/>
    <w:rPr>
      <w:rFonts w:ascii="Heiti SC Light" w:hAnsi="Calibri" w:eastAsia="Times New Roman" w:cs="Times New Roman"/>
      <w:sz w:val="24"/>
      <w:szCs w:val="24"/>
    </w:rPr>
  </w:style>
  <w:style w:type="paragraph" w:customStyle="1" w:styleId="60">
    <w:name w:val="Char Char"/>
    <w:basedOn w:val="1"/>
    <w:autoRedefine/>
    <w:qFormat/>
    <w:uiPriority w:val="0"/>
    <w:rPr>
      <w:rFonts w:ascii="Tahoma" w:hAnsi="Tahoma"/>
      <w:sz w:val="24"/>
      <w:szCs w:val="20"/>
    </w:rPr>
  </w:style>
  <w:style w:type="paragraph" w:customStyle="1" w:styleId="61">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2">
    <w:name w:val="批注文字 Char"/>
    <w:link w:val="15"/>
    <w:autoRedefine/>
    <w:qFormat/>
    <w:uiPriority w:val="0"/>
    <w:rPr>
      <w:sz w:val="28"/>
    </w:rPr>
  </w:style>
  <w:style w:type="character" w:customStyle="1" w:styleId="63">
    <w:name w:val="正文缩进 Char"/>
    <w:link w:val="12"/>
    <w:autoRedefine/>
    <w:qFormat/>
    <w:uiPriority w:val="0"/>
    <w:rPr>
      <w:rFonts w:ascii="Calibri" w:hAnsi="Calibri" w:eastAsia="宋体" w:cs="Times New Roman"/>
    </w:rPr>
  </w:style>
  <w:style w:type="character" w:customStyle="1" w:styleId="64">
    <w:name w:val="纯文本 Char1"/>
    <w:autoRedefine/>
    <w:qFormat/>
    <w:uiPriority w:val="0"/>
    <w:rPr>
      <w:rFonts w:ascii="宋体" w:hAnsi="Courier New" w:cs="Courier New"/>
      <w:kern w:val="2"/>
      <w:sz w:val="21"/>
      <w:szCs w:val="21"/>
    </w:rPr>
  </w:style>
  <w:style w:type="character" w:customStyle="1" w:styleId="65">
    <w:name w:val="批注文字 Char1"/>
    <w:basedOn w:val="32"/>
    <w:link w:val="15"/>
    <w:autoRedefine/>
    <w:qFormat/>
    <w:uiPriority w:val="0"/>
    <w:rPr>
      <w:rFonts w:ascii="Calibri" w:hAnsi="Calibri" w:eastAsia="宋体" w:cs="Times New Roman"/>
    </w:rPr>
  </w:style>
  <w:style w:type="character" w:customStyle="1" w:styleId="66">
    <w:name w:val="正文文本 Char"/>
    <w:basedOn w:val="32"/>
    <w:link w:val="2"/>
    <w:autoRedefine/>
    <w:qFormat/>
    <w:uiPriority w:val="0"/>
    <w:rPr>
      <w:rFonts w:ascii="Times New Roman" w:hAnsi="Times New Roman" w:eastAsia="宋体" w:cs="Times New Roman"/>
      <w:sz w:val="24"/>
      <w:szCs w:val="24"/>
    </w:rPr>
  </w:style>
  <w:style w:type="paragraph" w:customStyle="1" w:styleId="67">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68">
    <w:name w:val="apple-converted-space"/>
    <w:autoRedefine/>
    <w:qFormat/>
    <w:uiPriority w:val="0"/>
  </w:style>
  <w:style w:type="paragraph" w:customStyle="1" w:styleId="6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0">
    <w:name w:val="正文文本缩进 3 Char"/>
    <w:basedOn w:val="32"/>
    <w:link w:val="25"/>
    <w:autoRedefine/>
    <w:qFormat/>
    <w:uiPriority w:val="0"/>
    <w:rPr>
      <w:rFonts w:ascii="Times New Roman" w:hAnsi="Times New Roman" w:eastAsia="宋体" w:cs="Times New Roman"/>
      <w:sz w:val="16"/>
      <w:szCs w:val="16"/>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2">
    <w:name w:val="标题 Char"/>
    <w:basedOn w:val="32"/>
    <w:link w:val="28"/>
    <w:autoRedefine/>
    <w:qFormat/>
    <w:uiPriority w:val="0"/>
    <w:rPr>
      <w:rFonts w:ascii="Cambria" w:hAnsi="Cambria" w:eastAsia="宋体" w:cs="Times New Roman"/>
      <w:b/>
      <w:bCs/>
      <w:sz w:val="32"/>
      <w:szCs w:val="32"/>
    </w:rPr>
  </w:style>
  <w:style w:type="paragraph" w:customStyle="1" w:styleId="73">
    <w:name w:val="列出段落2"/>
    <w:basedOn w:val="1"/>
    <w:autoRedefine/>
    <w:qFormat/>
    <w:uiPriority w:val="0"/>
    <w:pPr>
      <w:ind w:firstLine="420" w:firstLineChars="200"/>
    </w:pPr>
  </w:style>
  <w:style w:type="paragraph" w:customStyle="1" w:styleId="7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标题 3 Char1"/>
    <w:autoRedefine/>
    <w:qFormat/>
    <w:uiPriority w:val="0"/>
    <w:rPr>
      <w:rFonts w:ascii="Times New Roman" w:hAnsi="Times New Roman" w:eastAsia="宋体" w:cs="Times New Roman"/>
      <w:sz w:val="24"/>
      <w:szCs w:val="20"/>
    </w:rPr>
  </w:style>
  <w:style w:type="paragraph" w:customStyle="1" w:styleId="76">
    <w:name w:val="Char Char11 Char Char Char Char"/>
    <w:basedOn w:val="1"/>
    <w:autoRedefine/>
    <w:qFormat/>
    <w:uiPriority w:val="0"/>
    <w:pPr>
      <w:tabs>
        <w:tab w:val="left" w:pos="360"/>
      </w:tabs>
    </w:pPr>
    <w:rPr>
      <w:rFonts w:ascii="Times New Roman" w:hAnsi="Times New Roman"/>
      <w:szCs w:val="24"/>
    </w:rPr>
  </w:style>
  <w:style w:type="paragraph" w:customStyle="1" w:styleId="77">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8">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5">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6">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0">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1">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2">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3">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5">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6">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8">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0">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2">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0">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1">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2">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4">
    <w:name w:val="正文文本缩进 2 Char"/>
    <w:basedOn w:val="32"/>
    <w:link w:val="20"/>
    <w:autoRedefine/>
    <w:qFormat/>
    <w:uiPriority w:val="0"/>
    <w:rPr>
      <w:rFonts w:ascii="Times New Roman" w:hAnsi="Times New Roman" w:eastAsia="宋体" w:cs="Times New Roman"/>
      <w:sz w:val="28"/>
      <w:szCs w:val="24"/>
    </w:rPr>
  </w:style>
  <w:style w:type="character" w:customStyle="1" w:styleId="115">
    <w:name w:val="正文文本 2 Char"/>
    <w:basedOn w:val="32"/>
    <w:link w:val="26"/>
    <w:autoRedefine/>
    <w:qFormat/>
    <w:uiPriority w:val="0"/>
    <w:rPr>
      <w:rFonts w:ascii="Times New Roman" w:hAnsi="Times New Roman" w:eastAsia="宋体" w:cs="Times New Roman"/>
      <w:sz w:val="28"/>
      <w:szCs w:val="24"/>
    </w:rPr>
  </w:style>
  <w:style w:type="character" w:customStyle="1" w:styleId="116">
    <w:name w:val="日期 Char"/>
    <w:basedOn w:val="32"/>
    <w:link w:val="19"/>
    <w:autoRedefine/>
    <w:qFormat/>
    <w:uiPriority w:val="99"/>
    <w:rPr>
      <w:rFonts w:ascii="Times New Roman" w:hAnsi="Times New Roman" w:eastAsia="宋体" w:cs="Times New Roman"/>
      <w:sz w:val="28"/>
      <w:szCs w:val="24"/>
    </w:rPr>
  </w:style>
  <w:style w:type="character" w:customStyle="1" w:styleId="117">
    <w:name w:val="boldtitle1"/>
    <w:autoRedefine/>
    <w:qFormat/>
    <w:uiPriority w:val="0"/>
    <w:rPr>
      <w:rFonts w:hint="default" w:ascii="Arial Black" w:hAnsi="Arial Black"/>
      <w:sz w:val="36"/>
      <w:szCs w:val="36"/>
    </w:rPr>
  </w:style>
  <w:style w:type="paragraph" w:customStyle="1" w:styleId="118">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19">
    <w:name w:val="样式1"/>
    <w:basedOn w:val="1"/>
    <w:autoRedefine/>
    <w:qFormat/>
    <w:uiPriority w:val="0"/>
    <w:pPr>
      <w:adjustRightInd w:val="0"/>
      <w:textAlignment w:val="baseline"/>
    </w:pPr>
    <w:rPr>
      <w:rFonts w:ascii="宋体" w:hAnsi="宋体"/>
      <w:kern w:val="0"/>
      <w:szCs w:val="21"/>
    </w:rPr>
  </w:style>
  <w:style w:type="paragraph" w:customStyle="1" w:styleId="120">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1">
    <w:name w:val="Char"/>
    <w:basedOn w:val="1"/>
    <w:autoRedefine/>
    <w:qFormat/>
    <w:uiPriority w:val="0"/>
    <w:rPr>
      <w:rFonts w:ascii="Tahoma" w:hAnsi="Tahoma"/>
      <w:sz w:val="24"/>
      <w:szCs w:val="20"/>
    </w:rPr>
  </w:style>
  <w:style w:type="paragraph" w:customStyle="1" w:styleId="122">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3">
    <w:name w:val="正文首行缩进 2 Char"/>
    <w:basedOn w:val="54"/>
    <w:link w:val="29"/>
    <w:autoRedefine/>
    <w:qFormat/>
    <w:uiPriority w:val="0"/>
    <w:rPr>
      <w:rFonts w:ascii="Calibri" w:hAnsi="Calibri"/>
      <w:szCs w:val="21"/>
    </w:rPr>
  </w:style>
  <w:style w:type="paragraph" w:customStyle="1" w:styleId="124">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5">
    <w:name w:val="hang style2"/>
    <w:basedOn w:val="32"/>
    <w:autoRedefine/>
    <w:qFormat/>
    <w:uiPriority w:val="0"/>
  </w:style>
  <w:style w:type="character" w:customStyle="1" w:styleId="126">
    <w:name w:val="font01"/>
    <w:basedOn w:val="32"/>
    <w:autoRedefine/>
    <w:qFormat/>
    <w:uiPriority w:val="0"/>
    <w:rPr>
      <w:rFonts w:ascii="Helvetica" w:hAnsi="Helvetica" w:eastAsia="Helvetica" w:cs="Helvetica"/>
      <w:color w:val="000000"/>
      <w:sz w:val="16"/>
      <w:szCs w:val="16"/>
      <w:u w:val="none"/>
    </w:rPr>
  </w:style>
  <w:style w:type="character" w:customStyle="1" w:styleId="127">
    <w:name w:val="font41"/>
    <w:basedOn w:val="32"/>
    <w:autoRedefine/>
    <w:qFormat/>
    <w:uiPriority w:val="0"/>
    <w:rPr>
      <w:rFonts w:hint="eastAsia" w:ascii="宋体" w:hAnsi="宋体" w:eastAsia="宋体" w:cs="宋体"/>
      <w:color w:val="000000"/>
      <w:sz w:val="16"/>
      <w:szCs w:val="16"/>
      <w:u w:val="none"/>
    </w:rPr>
  </w:style>
  <w:style w:type="character" w:customStyle="1" w:styleId="128">
    <w:name w:val="font11"/>
    <w:basedOn w:val="32"/>
    <w:autoRedefine/>
    <w:qFormat/>
    <w:uiPriority w:val="0"/>
    <w:rPr>
      <w:rFonts w:hint="default" w:ascii="Times New Roman" w:hAnsi="Times New Roman" w:cs="Times New Roman"/>
      <w:color w:val="000000"/>
      <w:sz w:val="16"/>
      <w:szCs w:val="16"/>
      <w:u w:val="none"/>
    </w:rPr>
  </w:style>
  <w:style w:type="character" w:customStyle="1" w:styleId="129">
    <w:name w:val="font21"/>
    <w:basedOn w:val="32"/>
    <w:autoRedefine/>
    <w:qFormat/>
    <w:uiPriority w:val="0"/>
    <w:rPr>
      <w:rFonts w:ascii="Helvetica" w:hAnsi="Helvetica" w:eastAsia="Helvetica" w:cs="Helvetica"/>
      <w:color w:val="000000"/>
      <w:sz w:val="16"/>
      <w:szCs w:val="16"/>
      <w:u w:val="none"/>
    </w:rPr>
  </w:style>
  <w:style w:type="character" w:customStyle="1" w:styleId="130">
    <w:name w:val="font51"/>
    <w:basedOn w:val="32"/>
    <w:autoRedefine/>
    <w:qFormat/>
    <w:uiPriority w:val="0"/>
    <w:rPr>
      <w:rFonts w:hint="eastAsia" w:ascii="宋体" w:hAnsi="宋体" w:eastAsia="宋体" w:cs="宋体"/>
      <w:color w:val="000000"/>
      <w:sz w:val="16"/>
      <w:szCs w:val="16"/>
      <w:u w:val="none"/>
    </w:rPr>
  </w:style>
  <w:style w:type="character" w:customStyle="1" w:styleId="131">
    <w:name w:val="font31"/>
    <w:basedOn w:val="32"/>
    <w:autoRedefine/>
    <w:qFormat/>
    <w:uiPriority w:val="0"/>
    <w:rPr>
      <w:rFonts w:hint="eastAsia" w:ascii="宋体" w:hAnsi="宋体" w:eastAsia="宋体" w:cs="宋体"/>
      <w:color w:val="000000"/>
      <w:sz w:val="16"/>
      <w:szCs w:val="16"/>
      <w:u w:val="none"/>
    </w:rPr>
  </w:style>
  <w:style w:type="character" w:customStyle="1" w:styleId="132">
    <w:name w:val="font61"/>
    <w:basedOn w:val="32"/>
    <w:autoRedefine/>
    <w:qFormat/>
    <w:uiPriority w:val="0"/>
    <w:rPr>
      <w:rFonts w:hint="eastAsia" w:ascii="宋体" w:hAnsi="宋体" w:eastAsia="宋体" w:cs="宋体"/>
      <w:color w:val="000000"/>
      <w:sz w:val="16"/>
      <w:szCs w:val="16"/>
      <w:u w:val="none"/>
    </w:rPr>
  </w:style>
  <w:style w:type="character" w:customStyle="1" w:styleId="133">
    <w:name w:val="font71"/>
    <w:basedOn w:val="32"/>
    <w:autoRedefine/>
    <w:qFormat/>
    <w:uiPriority w:val="0"/>
    <w:rPr>
      <w:rFonts w:ascii="Helvetica" w:hAnsi="Helvetica" w:eastAsia="Helvetica" w:cs="Helvetica"/>
      <w:color w:val="000000"/>
      <w:sz w:val="16"/>
      <w:szCs w:val="16"/>
      <w:u w:val="none"/>
    </w:rPr>
  </w:style>
  <w:style w:type="character" w:customStyle="1" w:styleId="134">
    <w:name w:val="font91"/>
    <w:basedOn w:val="32"/>
    <w:autoRedefine/>
    <w:qFormat/>
    <w:uiPriority w:val="0"/>
    <w:rPr>
      <w:rFonts w:hint="default" w:ascii="Times New Roman" w:hAnsi="Times New Roman" w:cs="Times New Roman"/>
      <w:color w:val="000000"/>
      <w:sz w:val="16"/>
      <w:szCs w:val="16"/>
      <w:u w:val="none"/>
    </w:rPr>
  </w:style>
  <w:style w:type="character" w:customStyle="1" w:styleId="135">
    <w:name w:val="font81"/>
    <w:basedOn w:val="32"/>
    <w:autoRedefine/>
    <w:qFormat/>
    <w:uiPriority w:val="0"/>
    <w:rPr>
      <w:rFonts w:hint="eastAsia" w:ascii="宋体" w:hAnsi="宋体" w:eastAsia="宋体" w:cs="宋体"/>
      <w:color w:val="000000"/>
      <w:sz w:val="16"/>
      <w:szCs w:val="16"/>
      <w:u w:val="none"/>
    </w:rPr>
  </w:style>
  <w:style w:type="character" w:customStyle="1" w:styleId="136">
    <w:name w:val="weby11"/>
    <w:basedOn w:val="32"/>
    <w:autoRedefine/>
    <w:qFormat/>
    <w:uiPriority w:val="0"/>
    <w:rPr>
      <w:sz w:val="18"/>
      <w:szCs w:val="18"/>
    </w:rPr>
  </w:style>
  <w:style w:type="paragraph" w:customStyle="1" w:styleId="137">
    <w:name w:val="样式 首行缩进:  2 字符"/>
    <w:basedOn w:val="1"/>
    <w:autoRedefine/>
    <w:qFormat/>
    <w:uiPriority w:val="0"/>
    <w:pPr>
      <w:widowControl/>
    </w:pPr>
    <w:rPr>
      <w:rFonts w:ascii="宋体" w:hAnsi="宋体" w:cs="宋体"/>
      <w:bCs/>
      <w:kern w:val="0"/>
      <w:sz w:val="24"/>
      <w:szCs w:val="24"/>
    </w:rPr>
  </w:style>
  <w:style w:type="paragraph" w:customStyle="1" w:styleId="138">
    <w:name w:val="正文文字2"/>
    <w:basedOn w:val="2"/>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39">
    <w:name w:val="列出段落11"/>
    <w:basedOn w:val="1"/>
    <w:autoRedefine/>
    <w:qFormat/>
    <w:uiPriority w:val="0"/>
    <w:pPr>
      <w:ind w:firstLine="420" w:firstLineChars="200"/>
    </w:pPr>
    <w:rPr>
      <w:rFonts w:eastAsia="等线"/>
      <w:sz w:val="28"/>
      <w:szCs w:val="20"/>
    </w:rPr>
  </w:style>
  <w:style w:type="paragraph" w:customStyle="1" w:styleId="140">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1">
    <w:name w:val="time"/>
    <w:basedOn w:val="32"/>
    <w:autoRedefine/>
    <w:qFormat/>
    <w:uiPriority w:val="0"/>
    <w:rPr>
      <w:color w:val="484848"/>
    </w:rPr>
  </w:style>
  <w:style w:type="character" w:customStyle="1" w:styleId="142">
    <w:name w:val="time2"/>
    <w:basedOn w:val="32"/>
    <w:autoRedefine/>
    <w:qFormat/>
    <w:uiPriority w:val="0"/>
    <w:rPr>
      <w:color w:val="484848"/>
    </w:rPr>
  </w:style>
  <w:style w:type="paragraph" w:customStyle="1" w:styleId="143">
    <w:name w:val="Table Paragraph"/>
    <w:basedOn w:val="1"/>
    <w:autoRedefine/>
    <w:qFormat/>
    <w:uiPriority w:val="1"/>
    <w:rPr>
      <w:rFonts w:ascii="宋体" w:hAnsi="宋体" w:cs="宋体"/>
      <w:szCs w:val="24"/>
    </w:rPr>
  </w:style>
  <w:style w:type="paragraph" w:customStyle="1" w:styleId="144">
    <w:name w:val="列出段落4"/>
    <w:basedOn w:val="1"/>
    <w:autoRedefine/>
    <w:qFormat/>
    <w:uiPriority w:val="99"/>
    <w:pPr>
      <w:ind w:firstLine="420" w:firstLineChars="200"/>
    </w:pPr>
    <w:rPr>
      <w:rFonts w:cs="Times New Roman"/>
      <w:u w:color="000000"/>
    </w:rPr>
  </w:style>
  <w:style w:type="character" w:customStyle="1" w:styleId="145">
    <w:name w:val="ivu-radio+*"/>
    <w:basedOn w:val="32"/>
    <w:autoRedefine/>
    <w:qFormat/>
    <w:uiPriority w:val="0"/>
  </w:style>
  <w:style w:type="character" w:customStyle="1" w:styleId="146">
    <w:name w:val="ivu-date-picker-cells-cell"/>
    <w:basedOn w:val="32"/>
    <w:autoRedefine/>
    <w:qFormat/>
    <w:uiPriority w:val="0"/>
  </w:style>
  <w:style w:type="character" w:customStyle="1" w:styleId="147">
    <w:name w:val="time4"/>
    <w:basedOn w:val="32"/>
    <w:autoRedefine/>
    <w:qFormat/>
    <w:uiPriority w:val="0"/>
    <w:rPr>
      <w:color w:val="484848"/>
    </w:rPr>
  </w:style>
  <w:style w:type="paragraph" w:customStyle="1" w:styleId="148">
    <w:name w:val="TOC1"/>
    <w:basedOn w:val="1"/>
    <w:next w:val="1"/>
    <w:autoRedefine/>
    <w:qFormat/>
    <w:uiPriority w:val="0"/>
    <w:pPr>
      <w:jc w:val="both"/>
      <w:textAlignment w:val="baseline"/>
    </w:pPr>
    <w:rPr>
      <w:rFonts w:ascii="Times New Roman" w:hAnsi="Times New Roman"/>
      <w:kern w:val="2"/>
      <w:sz w:val="21"/>
      <w:szCs w:val="24"/>
      <w:lang w:val="en-US" w:eastAsia="zh-CN" w:bidi="ar-SA"/>
    </w:rPr>
  </w:style>
  <w:style w:type="character" w:customStyle="1" w:styleId="149">
    <w:name w:val="NormalCharacter"/>
    <w:autoRedefine/>
    <w:qFormat/>
    <w:uiPriority w:val="99"/>
  </w:style>
  <w:style w:type="character" w:customStyle="1" w:styleId="150">
    <w:name w:val="正文文本 (2) + MingLiU3"/>
    <w:basedOn w:val="32"/>
    <w:autoRedefine/>
    <w:qFormat/>
    <w:uiPriority w:val="99"/>
    <w:rPr>
      <w:rFonts w:ascii="MingLiU" w:eastAsia="MingLiU" w:cs="MingLiU"/>
      <w:spacing w:val="20"/>
      <w:sz w:val="21"/>
      <w:szCs w:val="21"/>
      <w:u w:val="none"/>
    </w:rPr>
  </w:style>
  <w:style w:type="paragraph" w:customStyle="1" w:styleId="151">
    <w:name w:val="Table Text"/>
    <w:basedOn w:val="1"/>
    <w:autoRedefine/>
    <w:semiHidden/>
    <w:qFormat/>
    <w:uiPriority w:val="0"/>
    <w:rPr>
      <w:rFonts w:ascii="宋体" w:hAnsi="宋体" w:eastAsia="宋体" w:cs="宋体"/>
      <w:sz w:val="27"/>
      <w:szCs w:val="27"/>
      <w:lang w:val="en-US" w:eastAsia="en-US" w:bidi="ar-SA"/>
    </w:rPr>
  </w:style>
  <w:style w:type="table" w:customStyle="1" w:styleId="152">
    <w:name w:val="Table Normal"/>
    <w:autoRedefine/>
    <w:semiHidden/>
    <w:unhideWhenUsed/>
    <w:qFormat/>
    <w:uiPriority w:val="0"/>
    <w:tblPr>
      <w:tblCellMar>
        <w:top w:w="0" w:type="dxa"/>
        <w:left w:w="0" w:type="dxa"/>
        <w:bottom w:w="0" w:type="dxa"/>
        <w:right w:w="0" w:type="dxa"/>
      </w:tblCellMar>
    </w:tblPr>
  </w:style>
  <w:style w:type="paragraph" w:styleId="153">
    <w:name w:val="No Spacing"/>
    <w:qFormat/>
    <w:uiPriority w:val="1"/>
    <w:pPr>
      <w:widowControl w:val="0"/>
    </w:pPr>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8341</Words>
  <Characters>9306</Characters>
  <Lines>146</Lines>
  <Paragraphs>41</Paragraphs>
  <TotalTime>3</TotalTime>
  <ScaleCrop>false</ScaleCrop>
  <LinksUpToDate>false</LinksUpToDate>
  <CharactersWithSpaces>9459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哦类酱</cp:lastModifiedBy>
  <cp:lastPrinted>2024-10-08T07:55:00Z</cp:lastPrinted>
  <dcterms:modified xsi:type="dcterms:W3CDTF">2024-12-06T01:46:38Z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83C79FF538934385B0AA4C2A500E4125_13</vt:lpwstr>
  </property>
</Properties>
</file>