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E6987A">
      <w:pPr>
        <w:pageBreakBefore w:val="0"/>
        <w:kinsoku/>
        <w:overflowPunct/>
        <w:topLinePunct w:val="0"/>
        <w:bidi w:val="0"/>
        <w:spacing w:line="360" w:lineRule="auto"/>
        <w:jc w:val="center"/>
        <w:rPr>
          <w:rFonts w:hint="default" w:ascii="黑体" w:hAnsi="黑体" w:eastAsia="黑体" w:cs="黑体"/>
          <w:color w:val="auto"/>
          <w:spacing w:val="0"/>
          <w:sz w:val="44"/>
          <w:szCs w:val="44"/>
          <w:highlight w:val="none"/>
          <w:lang w:val="en-US" w:eastAsia="zh-CN"/>
        </w:rPr>
      </w:pPr>
      <w:r>
        <w:rPr>
          <w:rFonts w:hint="eastAsia" w:ascii="黑体" w:hAnsi="黑体" w:eastAsia="黑体" w:cs="黑体"/>
          <w:color w:val="auto"/>
          <w:spacing w:val="0"/>
          <w:sz w:val="44"/>
          <w:szCs w:val="44"/>
          <w:highlight w:val="none"/>
        </w:rPr>
        <w:t>洪湖市人民医院污水处理站运营外包服务项目</w:t>
      </w:r>
      <w:r>
        <w:rPr>
          <w:rFonts w:hint="eastAsia" w:ascii="黑体" w:hAnsi="黑体" w:eastAsia="黑体" w:cs="黑体"/>
          <w:color w:val="auto"/>
          <w:spacing w:val="0"/>
          <w:sz w:val="44"/>
          <w:szCs w:val="44"/>
          <w:highlight w:val="none"/>
          <w:lang w:eastAsia="zh-CN"/>
        </w:rPr>
        <w:t>（</w:t>
      </w:r>
      <w:r>
        <w:rPr>
          <w:rFonts w:hint="eastAsia" w:ascii="黑体" w:hAnsi="黑体" w:eastAsia="黑体" w:cs="黑体"/>
          <w:color w:val="auto"/>
          <w:spacing w:val="0"/>
          <w:sz w:val="44"/>
          <w:szCs w:val="44"/>
          <w:highlight w:val="none"/>
          <w:lang w:val="en-US" w:eastAsia="zh-CN"/>
        </w:rPr>
        <w:t>第二次）</w:t>
      </w:r>
    </w:p>
    <w:p w14:paraId="5ACE5A90">
      <w:pPr>
        <w:pageBreakBefore w:val="0"/>
        <w:kinsoku/>
        <w:overflowPunct/>
        <w:topLinePunct w:val="0"/>
        <w:bidi w:val="0"/>
        <w:spacing w:line="360" w:lineRule="auto"/>
        <w:jc w:val="center"/>
        <w:rPr>
          <w:rFonts w:ascii="Times New Roman" w:hAnsi="Times New Roman"/>
          <w:color w:val="auto"/>
          <w:sz w:val="80"/>
          <w:szCs w:val="80"/>
          <w:highlight w:val="none"/>
        </w:rPr>
      </w:pPr>
    </w:p>
    <w:p w14:paraId="7DADA366">
      <w:pPr>
        <w:pageBreakBefore w:val="0"/>
        <w:kinsoku/>
        <w:overflowPunct/>
        <w:topLinePunct w:val="0"/>
        <w:bidi w:val="0"/>
        <w:spacing w:line="360" w:lineRule="auto"/>
        <w:jc w:val="center"/>
        <w:rPr>
          <w:rFonts w:ascii="Times New Roman" w:hAnsi="Times New Roman"/>
          <w:color w:val="auto"/>
          <w:sz w:val="80"/>
          <w:szCs w:val="80"/>
          <w:highlight w:val="none"/>
        </w:rPr>
      </w:pPr>
    </w:p>
    <w:p w14:paraId="2BA29DD4">
      <w:pPr>
        <w:pStyle w:val="25"/>
        <w:pageBreakBefore w:val="0"/>
        <w:kinsoku/>
        <w:overflowPunct/>
        <w:topLinePunct w:val="0"/>
        <w:bidi w:val="0"/>
        <w:spacing w:line="360" w:lineRule="auto"/>
        <w:rPr>
          <w:rFonts w:ascii="Times New Roman" w:hAnsi="Times New Roman"/>
          <w:color w:val="auto"/>
          <w:sz w:val="80"/>
          <w:szCs w:val="80"/>
          <w:highlight w:val="none"/>
        </w:rPr>
      </w:pPr>
    </w:p>
    <w:p w14:paraId="34DE589F">
      <w:pPr>
        <w:pageBreakBefore w:val="0"/>
        <w:kinsoku/>
        <w:overflowPunct/>
        <w:topLinePunct w:val="0"/>
        <w:bidi w:val="0"/>
        <w:spacing w:line="360" w:lineRule="auto"/>
        <w:rPr>
          <w:rFonts w:ascii="Times New Roman" w:hAnsi="Times New Roman"/>
          <w:color w:val="auto"/>
          <w:sz w:val="80"/>
          <w:szCs w:val="80"/>
          <w:highlight w:val="none"/>
        </w:rPr>
      </w:pPr>
    </w:p>
    <w:p w14:paraId="0062B26E">
      <w:pPr>
        <w:pStyle w:val="25"/>
        <w:pageBreakBefore w:val="0"/>
        <w:kinsoku/>
        <w:overflowPunct/>
        <w:topLinePunct w:val="0"/>
        <w:bidi w:val="0"/>
        <w:spacing w:line="360" w:lineRule="auto"/>
        <w:rPr>
          <w:color w:val="auto"/>
        </w:rPr>
      </w:pPr>
    </w:p>
    <w:p w14:paraId="19B27A17">
      <w:pPr>
        <w:pageBreakBefore w:val="0"/>
        <w:kinsoku/>
        <w:overflowPunct/>
        <w:topLinePunct w:val="0"/>
        <w:bidi w:val="0"/>
        <w:spacing w:line="360" w:lineRule="auto"/>
        <w:jc w:val="center"/>
        <w:rPr>
          <w:rFonts w:ascii="Times New Roman" w:hAnsi="Times New Roman" w:eastAsia="方正小标宋简体"/>
          <w:bCs/>
          <w:color w:val="auto"/>
          <w:sz w:val="80"/>
          <w:szCs w:val="80"/>
          <w:highlight w:val="none"/>
        </w:rPr>
      </w:pPr>
      <w:r>
        <w:rPr>
          <w:rFonts w:ascii="Times New Roman" w:hAnsi="Times New Roman" w:eastAsia="方正小标宋简体"/>
          <w:bCs/>
          <w:color w:val="auto"/>
          <w:sz w:val="80"/>
          <w:szCs w:val="80"/>
          <w:highlight w:val="none"/>
        </w:rPr>
        <w:t>竞争性磋商文件</w:t>
      </w:r>
    </w:p>
    <w:p w14:paraId="46715BA2">
      <w:pPr>
        <w:pageBreakBefore w:val="0"/>
        <w:kinsoku/>
        <w:overflowPunct/>
        <w:topLinePunct w:val="0"/>
        <w:bidi w:val="0"/>
        <w:spacing w:line="360" w:lineRule="auto"/>
        <w:jc w:val="center"/>
        <w:rPr>
          <w:rFonts w:ascii="黑体" w:hAnsi="黑体" w:eastAsia="黑体"/>
          <w:color w:val="auto"/>
          <w:sz w:val="28"/>
          <w:szCs w:val="28"/>
          <w:highlight w:val="none"/>
          <w:u w:val="single"/>
        </w:rPr>
      </w:pPr>
    </w:p>
    <w:p w14:paraId="3A71404B">
      <w:pPr>
        <w:pageBreakBefore w:val="0"/>
        <w:kinsoku/>
        <w:overflowPunct/>
        <w:topLinePunct w:val="0"/>
        <w:bidi w:val="0"/>
        <w:spacing w:line="360" w:lineRule="auto"/>
        <w:rPr>
          <w:rFonts w:hint="default" w:ascii="黑体" w:hAnsi="黑体" w:eastAsia="黑体"/>
          <w:color w:val="auto"/>
          <w:sz w:val="28"/>
          <w:szCs w:val="28"/>
          <w:highlight w:val="none"/>
          <w:u w:val="single"/>
          <w:lang w:val="en-US" w:eastAsia="zh-CN"/>
        </w:rPr>
      </w:pPr>
    </w:p>
    <w:p w14:paraId="518758DB">
      <w:pPr>
        <w:pStyle w:val="25"/>
        <w:pageBreakBefore w:val="0"/>
        <w:kinsoku/>
        <w:overflowPunct/>
        <w:topLinePunct w:val="0"/>
        <w:bidi w:val="0"/>
        <w:spacing w:line="360" w:lineRule="auto"/>
        <w:rPr>
          <w:color w:val="auto"/>
        </w:rPr>
      </w:pPr>
    </w:p>
    <w:p w14:paraId="4681FDE8">
      <w:pPr>
        <w:pageBreakBefore w:val="0"/>
        <w:kinsoku/>
        <w:overflowPunct/>
        <w:topLinePunct w:val="0"/>
        <w:bidi w:val="0"/>
        <w:spacing w:line="360" w:lineRule="auto"/>
        <w:ind w:firstLine="840" w:firstLineChars="300"/>
        <w:rPr>
          <w:rFonts w:hint="default" w:ascii="黑体" w:hAnsi="黑体" w:eastAsia="黑体"/>
          <w:color w:val="auto"/>
          <w:sz w:val="28"/>
          <w:szCs w:val="28"/>
          <w:highlight w:val="none"/>
          <w:lang w:val="en-US" w:eastAsia="zh-CN"/>
        </w:rPr>
      </w:pPr>
      <w:r>
        <w:rPr>
          <w:rFonts w:ascii="黑体" w:hAnsi="黑体" w:eastAsia="黑体"/>
          <w:color w:val="auto"/>
          <w:sz w:val="28"/>
          <w:szCs w:val="28"/>
          <w:highlight w:val="none"/>
        </w:rPr>
        <w:t>项目编号：</w:t>
      </w:r>
      <w:r>
        <w:rPr>
          <w:rFonts w:hint="eastAsia" w:ascii="黑体" w:hAnsi="黑体" w:eastAsia="黑体"/>
          <w:color w:val="auto"/>
          <w:sz w:val="28"/>
          <w:szCs w:val="28"/>
          <w:highlight w:val="none"/>
        </w:rPr>
        <w:t>HHRMYY</w:t>
      </w:r>
      <w:r>
        <w:rPr>
          <w:rFonts w:hint="eastAsia" w:ascii="黑体" w:hAnsi="黑体" w:eastAsia="黑体"/>
          <w:color w:val="auto"/>
          <w:sz w:val="28"/>
          <w:szCs w:val="28"/>
          <w:highlight w:val="none"/>
          <w:lang w:val="en-US" w:eastAsia="zh-CN"/>
        </w:rPr>
        <w:t>ZWK</w:t>
      </w:r>
      <w:r>
        <w:rPr>
          <w:rFonts w:hint="eastAsia" w:ascii="黑体" w:hAnsi="黑体" w:eastAsia="黑体"/>
          <w:color w:val="auto"/>
          <w:sz w:val="28"/>
          <w:szCs w:val="28"/>
          <w:highlight w:val="none"/>
        </w:rPr>
        <w:t>-20241</w:t>
      </w:r>
      <w:r>
        <w:rPr>
          <w:rFonts w:hint="eastAsia" w:ascii="黑体" w:hAnsi="黑体" w:eastAsia="黑体"/>
          <w:color w:val="auto"/>
          <w:sz w:val="28"/>
          <w:szCs w:val="28"/>
          <w:highlight w:val="none"/>
          <w:lang w:val="en-US" w:eastAsia="zh-CN"/>
        </w:rPr>
        <w:t>218</w:t>
      </w:r>
    </w:p>
    <w:p w14:paraId="714769AB">
      <w:pPr>
        <w:pageBreakBefore w:val="0"/>
        <w:kinsoku/>
        <w:overflowPunct/>
        <w:topLinePunct w:val="0"/>
        <w:bidi w:val="0"/>
        <w:spacing w:line="360" w:lineRule="auto"/>
        <w:ind w:firstLine="840" w:firstLineChars="300"/>
        <w:rPr>
          <w:rFonts w:hint="default" w:ascii="黑体" w:hAnsi="黑体" w:eastAsia="黑体"/>
          <w:color w:val="auto"/>
          <w:sz w:val="28"/>
          <w:szCs w:val="28"/>
          <w:highlight w:val="none"/>
          <w:lang w:val="en-US" w:eastAsia="zh-CN"/>
        </w:rPr>
      </w:pPr>
      <w:r>
        <w:rPr>
          <w:rFonts w:hint="eastAsia" w:ascii="黑体" w:hAnsi="黑体" w:eastAsia="黑体"/>
          <w:color w:val="auto"/>
          <w:sz w:val="28"/>
          <w:szCs w:val="28"/>
          <w:highlight w:val="none"/>
        </w:rPr>
        <w:t>采购</w:t>
      </w:r>
      <w:r>
        <w:rPr>
          <w:rFonts w:ascii="黑体" w:hAnsi="黑体" w:eastAsia="黑体"/>
          <w:color w:val="auto"/>
          <w:sz w:val="28"/>
          <w:szCs w:val="28"/>
          <w:highlight w:val="none"/>
        </w:rPr>
        <w:t>内容：</w:t>
      </w:r>
      <w:r>
        <w:rPr>
          <w:rFonts w:hint="eastAsia" w:ascii="黑体" w:hAnsi="黑体" w:eastAsia="黑体"/>
          <w:color w:val="auto"/>
          <w:sz w:val="28"/>
          <w:szCs w:val="28"/>
          <w:highlight w:val="none"/>
        </w:rPr>
        <w:t>洪湖市人民医院污水处理站运营外包服务项目</w:t>
      </w:r>
      <w:r>
        <w:rPr>
          <w:rFonts w:hint="eastAsia" w:ascii="黑体" w:hAnsi="黑体" w:eastAsia="黑体"/>
          <w:color w:val="auto"/>
          <w:sz w:val="28"/>
          <w:szCs w:val="28"/>
          <w:highlight w:val="none"/>
          <w:lang w:eastAsia="zh-CN"/>
        </w:rPr>
        <w:t>（</w:t>
      </w:r>
      <w:r>
        <w:rPr>
          <w:rFonts w:hint="eastAsia" w:ascii="黑体" w:hAnsi="黑体" w:eastAsia="黑体"/>
          <w:color w:val="auto"/>
          <w:sz w:val="28"/>
          <w:szCs w:val="28"/>
          <w:highlight w:val="none"/>
          <w:lang w:val="en-US" w:eastAsia="zh-CN"/>
        </w:rPr>
        <w:t>第二次）</w:t>
      </w:r>
    </w:p>
    <w:p w14:paraId="2C7417EA">
      <w:pPr>
        <w:pageBreakBefore w:val="0"/>
        <w:kinsoku/>
        <w:overflowPunct/>
        <w:topLinePunct w:val="0"/>
        <w:bidi w:val="0"/>
        <w:spacing w:line="360" w:lineRule="auto"/>
        <w:rPr>
          <w:rFonts w:ascii="黑体" w:hAnsi="黑体" w:eastAsia="黑体"/>
          <w:color w:val="auto"/>
          <w:sz w:val="28"/>
          <w:szCs w:val="28"/>
          <w:highlight w:val="none"/>
        </w:rPr>
      </w:pPr>
    </w:p>
    <w:p w14:paraId="04F953CF">
      <w:pPr>
        <w:pageBreakBefore w:val="0"/>
        <w:kinsoku/>
        <w:overflowPunct/>
        <w:topLinePunct w:val="0"/>
        <w:bidi w:val="0"/>
        <w:spacing w:line="360" w:lineRule="auto"/>
        <w:rPr>
          <w:rFonts w:ascii="黑体" w:hAnsi="黑体" w:eastAsia="黑体"/>
          <w:color w:val="auto"/>
          <w:sz w:val="28"/>
          <w:szCs w:val="28"/>
          <w:highlight w:val="none"/>
        </w:rPr>
      </w:pPr>
    </w:p>
    <w:p w14:paraId="24C049E9">
      <w:pPr>
        <w:pageBreakBefore w:val="0"/>
        <w:kinsoku/>
        <w:overflowPunct/>
        <w:topLinePunct w:val="0"/>
        <w:bidi w:val="0"/>
        <w:spacing w:line="360" w:lineRule="auto"/>
        <w:rPr>
          <w:color w:val="auto"/>
          <w:highlight w:val="none"/>
        </w:rPr>
      </w:pPr>
    </w:p>
    <w:p w14:paraId="2171B747">
      <w:pPr>
        <w:pageBreakBefore w:val="0"/>
        <w:kinsoku/>
        <w:overflowPunct/>
        <w:topLinePunct w:val="0"/>
        <w:bidi w:val="0"/>
        <w:spacing w:line="360" w:lineRule="auto"/>
        <w:rPr>
          <w:rFonts w:ascii="黑体" w:hAnsi="黑体" w:eastAsia="黑体"/>
          <w:color w:val="auto"/>
          <w:sz w:val="28"/>
          <w:szCs w:val="28"/>
          <w:highlight w:val="none"/>
        </w:rPr>
      </w:pPr>
    </w:p>
    <w:p w14:paraId="756C1B07">
      <w:pPr>
        <w:pageBreakBefore w:val="0"/>
        <w:tabs>
          <w:tab w:val="left" w:pos="8222"/>
        </w:tabs>
        <w:kinsoku/>
        <w:wordWrap w:val="0"/>
        <w:overflowPunct/>
        <w:topLinePunct w:val="0"/>
        <w:bidi w:val="0"/>
        <w:spacing w:line="360" w:lineRule="auto"/>
        <w:ind w:firstLine="1680" w:firstLineChars="600"/>
        <w:jc w:val="left"/>
        <w:rPr>
          <w:rFonts w:hint="eastAsia" w:ascii="黑体" w:hAnsi="黑体" w:eastAsia="黑体" w:cs="黑体"/>
          <w:b w:val="0"/>
          <w:bCs w:val="0"/>
          <w:color w:val="auto"/>
          <w:sz w:val="28"/>
          <w:szCs w:val="28"/>
          <w:lang w:val="en-US"/>
        </w:rPr>
      </w:pPr>
      <w:r>
        <w:rPr>
          <w:rFonts w:hint="eastAsia" w:ascii="黑体" w:hAnsi="黑体" w:eastAsia="黑体" w:cs="黑体"/>
          <w:b w:val="0"/>
          <w:bCs w:val="0"/>
          <w:color w:val="auto"/>
          <w:sz w:val="28"/>
          <w:szCs w:val="28"/>
        </w:rPr>
        <w:t>采购人：洪湖市</w:t>
      </w:r>
      <w:r>
        <w:rPr>
          <w:rFonts w:hint="eastAsia" w:ascii="黑体" w:hAnsi="黑体" w:eastAsia="黑体" w:cs="黑体"/>
          <w:b w:val="0"/>
          <w:bCs w:val="0"/>
          <w:color w:val="auto"/>
          <w:sz w:val="28"/>
          <w:szCs w:val="28"/>
          <w:lang w:val="en-US" w:eastAsia="zh-CN"/>
        </w:rPr>
        <w:t>人民医院</w:t>
      </w:r>
    </w:p>
    <w:p w14:paraId="1DD4397F">
      <w:pPr>
        <w:pageBreakBefore w:val="0"/>
        <w:kinsoku/>
        <w:wordWrap w:val="0"/>
        <w:overflowPunct/>
        <w:topLinePunct w:val="0"/>
        <w:bidi w:val="0"/>
        <w:spacing w:line="360" w:lineRule="auto"/>
        <w:ind w:firstLine="1680" w:firstLineChars="600"/>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eastAsia="zh-CN"/>
        </w:rPr>
        <w:t>代理机构</w:t>
      </w:r>
      <w:r>
        <w:rPr>
          <w:rFonts w:hint="eastAsia" w:ascii="黑体" w:hAnsi="黑体" w:eastAsia="黑体" w:cs="黑体"/>
          <w:b w:val="0"/>
          <w:bCs w:val="0"/>
          <w:color w:val="auto"/>
          <w:sz w:val="28"/>
          <w:szCs w:val="28"/>
        </w:rPr>
        <w:t>：</w:t>
      </w:r>
      <w:r>
        <w:rPr>
          <w:rFonts w:hint="eastAsia" w:ascii="黑体" w:hAnsi="黑体" w:eastAsia="黑体" w:cs="黑体"/>
          <w:b w:val="0"/>
          <w:bCs w:val="0"/>
          <w:color w:val="auto"/>
          <w:sz w:val="28"/>
          <w:szCs w:val="28"/>
          <w:lang w:eastAsia="zh-CN"/>
        </w:rPr>
        <w:t>洪湖市建坤工程咨询有限公司</w:t>
      </w:r>
    </w:p>
    <w:p w14:paraId="0F49CD45">
      <w:pPr>
        <w:pStyle w:val="23"/>
        <w:pageBreakBefore w:val="0"/>
        <w:tabs>
          <w:tab w:val="left" w:pos="1418"/>
          <w:tab w:val="left" w:pos="1701"/>
          <w:tab w:val="left" w:pos="1843"/>
          <w:tab w:val="left" w:pos="1985"/>
          <w:tab w:val="clear" w:pos="4153"/>
          <w:tab w:val="clear" w:pos="8306"/>
        </w:tabs>
        <w:kinsoku/>
        <w:overflowPunct/>
        <w:topLinePunct w:val="0"/>
        <w:bidi w:val="0"/>
        <w:spacing w:line="360" w:lineRule="auto"/>
        <w:jc w:val="center"/>
        <w:rPr>
          <w:rFonts w:hint="eastAsia" w:ascii="黑体" w:hAnsi="黑体" w:eastAsia="黑体" w:cs="黑体"/>
          <w:b w:val="0"/>
          <w:bCs w:val="0"/>
          <w:color w:val="auto"/>
          <w:sz w:val="28"/>
          <w:szCs w:val="28"/>
          <w:lang w:val="en-US" w:eastAsia="zh-CN"/>
        </w:rPr>
      </w:pPr>
      <w:r>
        <w:rPr>
          <w:rFonts w:hint="eastAsia" w:ascii="黑体" w:hAnsi="黑体" w:eastAsia="黑体" w:cs="黑体"/>
          <w:b w:val="0"/>
          <w:bCs w:val="0"/>
          <w:color w:val="auto"/>
          <w:sz w:val="28"/>
          <w:szCs w:val="28"/>
        </w:rPr>
        <w:t>二〇二</w:t>
      </w:r>
      <w:r>
        <w:rPr>
          <w:rFonts w:hint="eastAsia" w:ascii="黑体" w:hAnsi="黑体" w:eastAsia="黑体" w:cs="黑体"/>
          <w:b w:val="0"/>
          <w:bCs w:val="0"/>
          <w:color w:val="auto"/>
          <w:sz w:val="28"/>
          <w:szCs w:val="28"/>
          <w:lang w:eastAsia="zh-CN"/>
        </w:rPr>
        <w:t>四</w:t>
      </w:r>
      <w:r>
        <w:rPr>
          <w:rFonts w:hint="eastAsia" w:ascii="黑体" w:hAnsi="黑体" w:eastAsia="黑体" w:cs="黑体"/>
          <w:b w:val="0"/>
          <w:bCs w:val="0"/>
          <w:color w:val="auto"/>
          <w:sz w:val="28"/>
          <w:szCs w:val="28"/>
        </w:rPr>
        <w:t>年</w:t>
      </w:r>
      <w:r>
        <w:rPr>
          <w:rFonts w:hint="eastAsia" w:ascii="黑体" w:hAnsi="黑体" w:eastAsia="黑体" w:cs="黑体"/>
          <w:b w:val="0"/>
          <w:bCs w:val="0"/>
          <w:color w:val="auto"/>
          <w:sz w:val="28"/>
          <w:szCs w:val="28"/>
          <w:lang w:val="en-US" w:eastAsia="zh-CN"/>
        </w:rPr>
        <w:t>十二月</w:t>
      </w:r>
    </w:p>
    <w:p w14:paraId="4C31D67C">
      <w:pPr>
        <w:pageBreakBefore w:val="0"/>
        <w:kinsoku/>
        <w:overflowPunct/>
        <w:topLinePunct w:val="0"/>
        <w:bidi w:val="0"/>
        <w:spacing w:line="360" w:lineRule="auto"/>
        <w:jc w:val="center"/>
        <w:rPr>
          <w:rFonts w:ascii="黑体" w:hAnsi="黑体" w:eastAsia="黑体"/>
          <w:color w:val="auto"/>
          <w:sz w:val="28"/>
          <w:szCs w:val="28"/>
          <w:highlight w:val="none"/>
        </w:rPr>
      </w:pPr>
    </w:p>
    <w:p w14:paraId="3D3DA724">
      <w:pPr>
        <w:pStyle w:val="2"/>
        <w:pageBreakBefore w:val="0"/>
        <w:kinsoku/>
        <w:overflowPunct/>
        <w:topLinePunct w:val="0"/>
        <w:bidi w:val="0"/>
        <w:spacing w:line="360" w:lineRule="auto"/>
        <w:rPr>
          <w:color w:val="auto"/>
          <w:highlight w:val="none"/>
        </w:rPr>
        <w:sectPr>
          <w:footerReference r:id="rId3" w:type="default"/>
          <w:footerReference r:id="rId4" w:type="even"/>
          <w:pgSz w:w="11906" w:h="16838"/>
          <w:pgMar w:top="1418" w:right="1418" w:bottom="1418" w:left="1418" w:header="851" w:footer="992" w:gutter="0"/>
          <w:cols w:space="425" w:num="1"/>
          <w:docGrid w:type="lines" w:linePitch="312" w:charSpace="0"/>
        </w:sectPr>
      </w:pPr>
    </w:p>
    <w:p w14:paraId="1AE0B0D5">
      <w:pPr>
        <w:pageBreakBefore w:val="0"/>
        <w:kinsoku/>
        <w:overflowPunct/>
        <w:topLinePunct w:val="0"/>
        <w:bidi w:val="0"/>
        <w:spacing w:line="360" w:lineRule="auto"/>
        <w:jc w:val="both"/>
        <w:rPr>
          <w:rFonts w:ascii="Times New Roman" w:hAnsi="Times New Roman" w:eastAsia="方正小标宋简体"/>
          <w:color w:val="auto"/>
          <w:sz w:val="40"/>
          <w:szCs w:val="40"/>
          <w:highlight w:val="none"/>
        </w:rPr>
        <w:sectPr>
          <w:headerReference r:id="rId5" w:type="default"/>
          <w:pgSz w:w="11906" w:h="16838"/>
          <w:pgMar w:top="1440" w:right="1800" w:bottom="1440" w:left="1800" w:header="851" w:footer="992" w:gutter="0"/>
          <w:cols w:space="425" w:num="1"/>
          <w:docGrid w:type="lines" w:linePitch="312" w:charSpace="0"/>
        </w:sectPr>
      </w:pPr>
    </w:p>
    <w:p w14:paraId="72FFEC77">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56FC235D">
      <w:pPr>
        <w:pageBreakBefore w:val="0"/>
        <w:kinsoku/>
        <w:overflowPunct/>
        <w:topLinePunct w:val="0"/>
        <w:bidi w:val="0"/>
        <w:spacing w:line="360" w:lineRule="auto"/>
        <w:rPr>
          <w:rFonts w:ascii="Times New Roman" w:hAnsi="Times New Roman" w:eastAsia="黑体"/>
          <w:color w:val="auto"/>
          <w:sz w:val="24"/>
          <w:szCs w:val="24"/>
          <w:highlight w:val="none"/>
        </w:rPr>
      </w:pPr>
    </w:p>
    <w:p w14:paraId="31663877">
      <w:pPr>
        <w:pageBreakBefore w:val="0"/>
        <w:kinsoku/>
        <w:overflowPunct/>
        <w:topLinePunct w:val="0"/>
        <w:bidi w:val="0"/>
        <w:spacing w:line="360" w:lineRule="auto"/>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第一章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w:t>
      </w:r>
      <w:r>
        <w:rPr>
          <w:rFonts w:hint="eastAsia" w:ascii="仿宋_GB2312" w:hAnsi="Times New Roman" w:eastAsia="仿宋_GB2312"/>
          <w:color w:val="auto"/>
          <w:sz w:val="24"/>
          <w:szCs w:val="24"/>
          <w:highlight w:val="none"/>
          <w:lang w:eastAsia="zh-CN"/>
        </w:rPr>
        <w:t>公告</w:t>
      </w:r>
      <w:r>
        <w:rPr>
          <w:rFonts w:hint="eastAsia" w:ascii="仿宋_GB2312" w:hAnsi="Times New Roman" w:eastAsia="仿宋_GB2312"/>
          <w:color w:val="auto"/>
          <w:sz w:val="24"/>
          <w:szCs w:val="24"/>
          <w:highlight w:val="none"/>
          <w:lang w:val="en-US" w:eastAsia="zh-CN"/>
        </w:rPr>
        <w:t xml:space="preserve">  </w:t>
      </w:r>
      <w:r>
        <w:rPr>
          <w:rFonts w:ascii="仿宋_GB2312" w:hAnsi="Times New Roman" w:eastAsia="仿宋_GB2312"/>
          <w:color w:val="auto"/>
          <w:sz w:val="24"/>
          <w:szCs w:val="24"/>
          <w:highlight w:val="none"/>
        </w:rPr>
        <w:t>·········································································0</w:t>
      </w:r>
      <w:r>
        <w:rPr>
          <w:rFonts w:hint="eastAsia" w:ascii="仿宋_GB2312" w:hAnsi="Times New Roman" w:eastAsia="仿宋_GB2312"/>
          <w:color w:val="auto"/>
          <w:sz w:val="24"/>
          <w:szCs w:val="24"/>
          <w:highlight w:val="none"/>
          <w:lang w:val="en-US" w:eastAsia="zh-CN"/>
        </w:rPr>
        <w:t>3</w:t>
      </w:r>
    </w:p>
    <w:p w14:paraId="11AA18C9">
      <w:pPr>
        <w:pageBreakBefore w:val="0"/>
        <w:kinsoku/>
        <w:overflowPunct/>
        <w:topLinePunct w:val="0"/>
        <w:bidi w:val="0"/>
        <w:spacing w:line="360" w:lineRule="auto"/>
        <w:jc w:val="left"/>
        <w:rPr>
          <w:rFonts w:hint="eastAsia" w:ascii="仿宋_GB2312" w:hAnsi="Times New Roman" w:eastAsia="仿宋_GB2312"/>
          <w:color w:val="auto"/>
          <w:sz w:val="24"/>
          <w:szCs w:val="24"/>
          <w:highlight w:val="none"/>
          <w:lang w:eastAsia="zh-CN"/>
        </w:rPr>
      </w:pPr>
      <w:r>
        <w:rPr>
          <w:rFonts w:ascii="仿宋_GB2312" w:hAnsi="Times New Roman" w:eastAsia="仿宋_GB2312"/>
          <w:color w:val="auto"/>
          <w:sz w:val="24"/>
          <w:szCs w:val="24"/>
          <w:highlight w:val="none"/>
        </w:rPr>
        <w:t>第二章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磋商须知············································································0</w:t>
      </w:r>
      <w:r>
        <w:rPr>
          <w:rFonts w:hint="eastAsia" w:ascii="仿宋_GB2312" w:hAnsi="Times New Roman" w:eastAsia="仿宋_GB2312"/>
          <w:color w:val="auto"/>
          <w:sz w:val="24"/>
          <w:szCs w:val="24"/>
          <w:highlight w:val="none"/>
          <w:lang w:val="en-US" w:eastAsia="zh-CN"/>
        </w:rPr>
        <w:t>7</w:t>
      </w:r>
    </w:p>
    <w:p w14:paraId="390A3DB5">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第三章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采购货物（服务）技术参数、规格及要求··································</w:t>
      </w:r>
      <w:r>
        <w:rPr>
          <w:rFonts w:hint="eastAsia" w:ascii="仿宋_GB2312" w:hAnsi="Times New Roman" w:eastAsia="仿宋_GB2312"/>
          <w:color w:val="auto"/>
          <w:sz w:val="24"/>
          <w:szCs w:val="24"/>
          <w:highlight w:val="none"/>
          <w:lang w:val="en-US" w:eastAsia="zh-CN"/>
        </w:rPr>
        <w:t>15</w:t>
      </w:r>
    </w:p>
    <w:p w14:paraId="62160DCA">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第四章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评审办法及评审标准·····························································</w:t>
      </w:r>
      <w:r>
        <w:rPr>
          <w:rFonts w:hint="eastAsia" w:ascii="仿宋_GB2312" w:hAnsi="Times New Roman" w:eastAsia="仿宋_GB2312"/>
          <w:color w:val="auto"/>
          <w:sz w:val="24"/>
          <w:szCs w:val="24"/>
          <w:highlight w:val="none"/>
          <w:lang w:val="en-US" w:eastAsia="zh-CN"/>
        </w:rPr>
        <w:t>27</w:t>
      </w:r>
    </w:p>
    <w:p w14:paraId="43461B89">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第五章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合同书（格式）···································································</w:t>
      </w:r>
      <w:r>
        <w:rPr>
          <w:rFonts w:hint="eastAsia" w:ascii="仿宋_GB2312" w:hAnsi="Times New Roman" w:eastAsia="仿宋_GB2312"/>
          <w:color w:val="auto"/>
          <w:sz w:val="24"/>
          <w:szCs w:val="24"/>
          <w:highlight w:val="none"/>
          <w:lang w:val="en-US" w:eastAsia="zh-CN"/>
        </w:rPr>
        <w:t>29</w:t>
      </w:r>
    </w:p>
    <w:p w14:paraId="11D8B890">
      <w:pPr>
        <w:pageBreakBefore w:val="0"/>
        <w:kinsoku/>
        <w:overflowPunct/>
        <w:topLinePunct w:val="0"/>
        <w:bidi w:val="0"/>
        <w:spacing w:line="360" w:lineRule="auto"/>
        <w:jc w:val="left"/>
        <w:rPr>
          <w:rFonts w:hint="default" w:ascii="仿宋_GB2312" w:hAnsi="Times New Roman" w:eastAsia="仿宋_GB2312"/>
          <w:color w:val="auto"/>
          <w:sz w:val="24"/>
          <w:szCs w:val="24"/>
          <w:highlight w:val="none"/>
          <w:lang w:val="en-US" w:eastAsia="zh-CN"/>
        </w:rPr>
      </w:pPr>
      <w:r>
        <w:rPr>
          <w:rFonts w:ascii="仿宋_GB2312" w:hAnsi="Times New Roman" w:eastAsia="仿宋_GB2312"/>
          <w:color w:val="auto"/>
          <w:sz w:val="24"/>
          <w:szCs w:val="24"/>
          <w:highlight w:val="none"/>
        </w:rPr>
        <w:t>第六章</w:t>
      </w:r>
      <w:r>
        <w:rPr>
          <w:rFonts w:hint="eastAsia" w:ascii="仿宋_GB2312" w:hAnsi="Times New Roman" w:eastAsia="仿宋_GB2312"/>
          <w:color w:val="auto"/>
          <w:sz w:val="24"/>
          <w:szCs w:val="24"/>
          <w:highlight w:val="none"/>
        </w:rPr>
        <w:t xml:space="preserve">  </w:t>
      </w:r>
      <w:r>
        <w:rPr>
          <w:rFonts w:ascii="仿宋_GB2312" w:hAnsi="Times New Roman" w:eastAsia="仿宋_GB2312"/>
          <w:color w:val="auto"/>
          <w:sz w:val="24"/>
          <w:szCs w:val="24"/>
          <w:highlight w:val="none"/>
        </w:rPr>
        <w:t>响应文件格式······································································</w:t>
      </w:r>
      <w:r>
        <w:rPr>
          <w:rFonts w:hint="eastAsia" w:ascii="仿宋_GB2312" w:hAnsi="Times New Roman" w:eastAsia="仿宋_GB2312"/>
          <w:color w:val="auto"/>
          <w:sz w:val="24"/>
          <w:szCs w:val="24"/>
          <w:highlight w:val="none"/>
          <w:lang w:val="en-US" w:eastAsia="zh-CN"/>
        </w:rPr>
        <w:t>31</w:t>
      </w:r>
    </w:p>
    <w:p w14:paraId="47186F6F">
      <w:pPr>
        <w:pageBreakBefore w:val="0"/>
        <w:kinsoku/>
        <w:overflowPunct/>
        <w:topLinePunct w:val="0"/>
        <w:bidi w:val="0"/>
        <w:spacing w:line="360" w:lineRule="auto"/>
        <w:jc w:val="left"/>
        <w:rPr>
          <w:rFonts w:ascii="Times New Roman" w:hAnsi="Times New Roman"/>
          <w:color w:val="auto"/>
          <w:sz w:val="24"/>
          <w:szCs w:val="24"/>
          <w:highlight w:val="none"/>
        </w:rPr>
      </w:pPr>
    </w:p>
    <w:p w14:paraId="1F7106DF">
      <w:pPr>
        <w:pStyle w:val="2"/>
        <w:pageBreakBefore w:val="0"/>
        <w:kinsoku/>
        <w:overflowPunct/>
        <w:topLinePunct w:val="0"/>
        <w:bidi w:val="0"/>
        <w:spacing w:line="360" w:lineRule="auto"/>
        <w:rPr>
          <w:rFonts w:ascii="Times New Roman" w:hAnsi="Times New Roman"/>
          <w:color w:val="auto"/>
          <w:sz w:val="24"/>
          <w:szCs w:val="24"/>
          <w:highlight w:val="none"/>
        </w:rPr>
      </w:pPr>
    </w:p>
    <w:p w14:paraId="48C84071">
      <w:pPr>
        <w:pageBreakBefore w:val="0"/>
        <w:kinsoku/>
        <w:overflowPunct/>
        <w:topLinePunct w:val="0"/>
        <w:bidi w:val="0"/>
        <w:spacing w:line="360" w:lineRule="auto"/>
        <w:rPr>
          <w:rFonts w:ascii="Times New Roman" w:hAnsi="Times New Roman"/>
          <w:color w:val="auto"/>
          <w:sz w:val="24"/>
          <w:szCs w:val="24"/>
          <w:highlight w:val="none"/>
        </w:rPr>
      </w:pPr>
    </w:p>
    <w:p w14:paraId="24F778DC">
      <w:pPr>
        <w:pStyle w:val="2"/>
        <w:pageBreakBefore w:val="0"/>
        <w:kinsoku/>
        <w:overflowPunct/>
        <w:topLinePunct w:val="0"/>
        <w:bidi w:val="0"/>
        <w:spacing w:line="360" w:lineRule="auto"/>
        <w:rPr>
          <w:rFonts w:ascii="Times New Roman" w:hAnsi="Times New Roman"/>
          <w:color w:val="auto"/>
          <w:sz w:val="24"/>
          <w:szCs w:val="24"/>
          <w:highlight w:val="none"/>
        </w:rPr>
      </w:pPr>
    </w:p>
    <w:p w14:paraId="2929CF0E">
      <w:pPr>
        <w:pageBreakBefore w:val="0"/>
        <w:kinsoku/>
        <w:overflowPunct/>
        <w:topLinePunct w:val="0"/>
        <w:bidi w:val="0"/>
        <w:spacing w:line="360" w:lineRule="auto"/>
        <w:rPr>
          <w:rFonts w:ascii="Times New Roman" w:hAnsi="Times New Roman"/>
          <w:color w:val="auto"/>
          <w:sz w:val="24"/>
          <w:szCs w:val="24"/>
          <w:highlight w:val="none"/>
        </w:rPr>
      </w:pPr>
    </w:p>
    <w:p w14:paraId="0ABEAC9B">
      <w:pPr>
        <w:pStyle w:val="2"/>
        <w:pageBreakBefore w:val="0"/>
        <w:kinsoku/>
        <w:overflowPunct/>
        <w:topLinePunct w:val="0"/>
        <w:bidi w:val="0"/>
        <w:spacing w:line="360" w:lineRule="auto"/>
        <w:rPr>
          <w:rFonts w:ascii="Times New Roman" w:hAnsi="Times New Roman"/>
          <w:color w:val="auto"/>
          <w:sz w:val="24"/>
          <w:szCs w:val="24"/>
          <w:highlight w:val="none"/>
        </w:rPr>
      </w:pPr>
    </w:p>
    <w:p w14:paraId="3EC42DCF">
      <w:pPr>
        <w:pageBreakBefore w:val="0"/>
        <w:kinsoku/>
        <w:overflowPunct/>
        <w:topLinePunct w:val="0"/>
        <w:bidi w:val="0"/>
        <w:spacing w:line="360" w:lineRule="auto"/>
        <w:rPr>
          <w:rFonts w:ascii="Times New Roman" w:hAnsi="Times New Roman"/>
          <w:color w:val="auto"/>
          <w:sz w:val="24"/>
          <w:szCs w:val="24"/>
          <w:highlight w:val="none"/>
        </w:rPr>
      </w:pPr>
    </w:p>
    <w:p w14:paraId="31F8E372">
      <w:pPr>
        <w:pStyle w:val="2"/>
        <w:pageBreakBefore w:val="0"/>
        <w:kinsoku/>
        <w:overflowPunct/>
        <w:topLinePunct w:val="0"/>
        <w:bidi w:val="0"/>
        <w:spacing w:line="360" w:lineRule="auto"/>
        <w:rPr>
          <w:rFonts w:ascii="Times New Roman" w:hAnsi="Times New Roman"/>
          <w:color w:val="auto"/>
          <w:sz w:val="24"/>
          <w:szCs w:val="24"/>
          <w:highlight w:val="none"/>
        </w:rPr>
      </w:pPr>
    </w:p>
    <w:p w14:paraId="17178868">
      <w:pPr>
        <w:pageBreakBefore w:val="0"/>
        <w:kinsoku/>
        <w:overflowPunct/>
        <w:topLinePunct w:val="0"/>
        <w:bidi w:val="0"/>
        <w:spacing w:line="360" w:lineRule="auto"/>
        <w:rPr>
          <w:rFonts w:ascii="Times New Roman" w:hAnsi="Times New Roman"/>
          <w:color w:val="auto"/>
          <w:sz w:val="24"/>
          <w:szCs w:val="24"/>
          <w:highlight w:val="none"/>
        </w:rPr>
      </w:pPr>
    </w:p>
    <w:p w14:paraId="2736D2C2">
      <w:pPr>
        <w:pStyle w:val="2"/>
        <w:pageBreakBefore w:val="0"/>
        <w:kinsoku/>
        <w:overflowPunct/>
        <w:topLinePunct w:val="0"/>
        <w:bidi w:val="0"/>
        <w:spacing w:line="360" w:lineRule="auto"/>
        <w:rPr>
          <w:rFonts w:ascii="Times New Roman" w:hAnsi="Times New Roman"/>
          <w:color w:val="auto"/>
          <w:sz w:val="24"/>
          <w:szCs w:val="24"/>
          <w:highlight w:val="none"/>
        </w:rPr>
      </w:pPr>
    </w:p>
    <w:p w14:paraId="6934DFB5">
      <w:pPr>
        <w:pageBreakBefore w:val="0"/>
        <w:kinsoku/>
        <w:overflowPunct/>
        <w:topLinePunct w:val="0"/>
        <w:bidi w:val="0"/>
        <w:spacing w:line="360" w:lineRule="auto"/>
        <w:rPr>
          <w:rFonts w:ascii="Times New Roman" w:hAnsi="Times New Roman"/>
          <w:color w:val="auto"/>
          <w:sz w:val="24"/>
          <w:szCs w:val="24"/>
          <w:highlight w:val="none"/>
        </w:rPr>
      </w:pPr>
    </w:p>
    <w:p w14:paraId="09E60E32">
      <w:pPr>
        <w:pStyle w:val="2"/>
        <w:pageBreakBefore w:val="0"/>
        <w:kinsoku/>
        <w:overflowPunct/>
        <w:topLinePunct w:val="0"/>
        <w:bidi w:val="0"/>
        <w:spacing w:line="360" w:lineRule="auto"/>
        <w:rPr>
          <w:rFonts w:ascii="Times New Roman" w:hAnsi="Times New Roman"/>
          <w:color w:val="auto"/>
          <w:sz w:val="24"/>
          <w:szCs w:val="24"/>
          <w:highlight w:val="none"/>
        </w:rPr>
      </w:pPr>
    </w:p>
    <w:p w14:paraId="22C3D8DC">
      <w:pPr>
        <w:pageBreakBefore w:val="0"/>
        <w:kinsoku/>
        <w:overflowPunct/>
        <w:topLinePunct w:val="0"/>
        <w:bidi w:val="0"/>
        <w:spacing w:line="360" w:lineRule="auto"/>
        <w:rPr>
          <w:rFonts w:ascii="Times New Roman" w:hAnsi="Times New Roman"/>
          <w:color w:val="auto"/>
          <w:sz w:val="24"/>
          <w:szCs w:val="24"/>
          <w:highlight w:val="none"/>
        </w:rPr>
      </w:pPr>
    </w:p>
    <w:p w14:paraId="72E0B7D5">
      <w:pPr>
        <w:pStyle w:val="2"/>
        <w:pageBreakBefore w:val="0"/>
        <w:kinsoku/>
        <w:overflowPunct/>
        <w:topLinePunct w:val="0"/>
        <w:bidi w:val="0"/>
        <w:spacing w:line="360" w:lineRule="auto"/>
        <w:rPr>
          <w:rFonts w:ascii="Times New Roman" w:hAnsi="Times New Roman"/>
          <w:color w:val="auto"/>
          <w:sz w:val="24"/>
          <w:szCs w:val="24"/>
          <w:highlight w:val="none"/>
        </w:rPr>
      </w:pPr>
    </w:p>
    <w:p w14:paraId="332B376A">
      <w:pPr>
        <w:pageBreakBefore w:val="0"/>
        <w:kinsoku/>
        <w:overflowPunct/>
        <w:topLinePunct w:val="0"/>
        <w:bidi w:val="0"/>
        <w:spacing w:line="360" w:lineRule="auto"/>
        <w:rPr>
          <w:rFonts w:ascii="Times New Roman" w:hAnsi="Times New Roman"/>
          <w:color w:val="auto"/>
          <w:sz w:val="24"/>
          <w:szCs w:val="24"/>
          <w:highlight w:val="none"/>
        </w:rPr>
      </w:pPr>
    </w:p>
    <w:p w14:paraId="5C0476EE">
      <w:pPr>
        <w:pStyle w:val="2"/>
        <w:pageBreakBefore w:val="0"/>
        <w:kinsoku/>
        <w:overflowPunct/>
        <w:topLinePunct w:val="0"/>
        <w:bidi w:val="0"/>
        <w:spacing w:line="360" w:lineRule="auto"/>
        <w:rPr>
          <w:color w:val="auto"/>
          <w:highlight w:val="none"/>
        </w:rPr>
      </w:pPr>
    </w:p>
    <w:p w14:paraId="770253D7">
      <w:pPr>
        <w:pageBreakBefore w:val="0"/>
        <w:widowControl/>
        <w:kinsoku/>
        <w:overflowPunct/>
        <w:topLinePunct w:val="0"/>
        <w:bidi w:val="0"/>
        <w:spacing w:line="360" w:lineRule="auto"/>
        <w:jc w:val="left"/>
        <w:rPr>
          <w:rFonts w:ascii="Times New Roman" w:hAnsi="Times New Roman"/>
          <w:color w:val="auto"/>
          <w:sz w:val="24"/>
          <w:szCs w:val="24"/>
          <w:highlight w:val="none"/>
        </w:rPr>
        <w:sectPr>
          <w:pgSz w:w="11906" w:h="16838"/>
          <w:pgMar w:top="1440" w:right="1800" w:bottom="1440" w:left="1800" w:header="851" w:footer="992" w:gutter="0"/>
          <w:cols w:space="425" w:num="1"/>
          <w:docGrid w:type="lines" w:linePitch="312" w:charSpace="0"/>
        </w:sectPr>
      </w:pPr>
    </w:p>
    <w:p w14:paraId="2C96119C">
      <w:pPr>
        <w:pageBreakBefore w:val="0"/>
        <w:kinsoku/>
        <w:overflowPunct/>
        <w:topLinePunct w:val="0"/>
        <w:bidi w:val="0"/>
        <w:spacing w:line="360" w:lineRule="auto"/>
        <w:jc w:val="center"/>
        <w:rPr>
          <w:rFonts w:ascii="Times New Roman" w:hAnsi="Times New Roman"/>
          <w:b/>
          <w:bCs/>
          <w:color w:val="auto"/>
          <w:sz w:val="36"/>
          <w:szCs w:val="36"/>
          <w:highlight w:val="none"/>
        </w:rPr>
        <w:sectPr>
          <w:headerReference r:id="rId6" w:type="default"/>
          <w:pgSz w:w="11906" w:h="16838"/>
          <w:pgMar w:top="1418" w:right="1418" w:bottom="1418" w:left="1418" w:header="851" w:footer="992" w:gutter="0"/>
          <w:cols w:space="425" w:num="1"/>
          <w:docGrid w:type="lines" w:linePitch="312" w:charSpace="0"/>
        </w:sectPr>
      </w:pPr>
    </w:p>
    <w:p w14:paraId="4A50B7BA">
      <w:pPr>
        <w:pStyle w:val="25"/>
        <w:pageBreakBefore w:val="0"/>
        <w:kinsoku/>
        <w:overflowPunct/>
        <w:topLinePunct w:val="0"/>
        <w:bidi w:val="0"/>
        <w:spacing w:line="360" w:lineRule="auto"/>
        <w:rPr>
          <w:color w:val="auto"/>
          <w:highlight w:val="none"/>
        </w:rPr>
      </w:pPr>
    </w:p>
    <w:p w14:paraId="29573F1F">
      <w:pPr>
        <w:pageBreakBefore w:val="0"/>
        <w:kinsoku/>
        <w:overflowPunct/>
        <w:topLinePunct w:val="0"/>
        <w:bidi w:val="0"/>
        <w:spacing w:line="360" w:lineRule="auto"/>
        <w:jc w:val="center"/>
        <w:rPr>
          <w:rFonts w:hint="eastAsia" w:eastAsia="宋体"/>
          <w:bCs/>
          <w:color w:val="auto"/>
          <w:sz w:val="36"/>
          <w:szCs w:val="36"/>
          <w:highlight w:val="none"/>
          <w:lang w:eastAsia="zh-CN"/>
        </w:rPr>
      </w:pPr>
      <w:r>
        <w:rPr>
          <w:b/>
          <w:bCs w:val="0"/>
          <w:color w:val="auto"/>
          <w:sz w:val="36"/>
          <w:szCs w:val="36"/>
          <w:highlight w:val="none"/>
        </w:rPr>
        <w:t>第一章</w:t>
      </w:r>
      <w:r>
        <w:rPr>
          <w:rFonts w:hint="eastAsia"/>
          <w:b/>
          <w:bCs w:val="0"/>
          <w:color w:val="auto"/>
          <w:sz w:val="36"/>
          <w:szCs w:val="36"/>
          <w:highlight w:val="none"/>
          <w:lang w:val="en-US" w:eastAsia="zh-CN"/>
        </w:rPr>
        <w:t xml:space="preserve"> </w:t>
      </w:r>
      <w:r>
        <w:rPr>
          <w:rFonts w:hint="eastAsia"/>
          <w:b/>
          <w:bCs w:val="0"/>
          <w:color w:val="auto"/>
          <w:sz w:val="36"/>
          <w:szCs w:val="36"/>
          <w:highlight w:val="none"/>
          <w:lang w:eastAsia="zh-CN"/>
        </w:rPr>
        <w:t>磋商公告</w:t>
      </w:r>
    </w:p>
    <w:p w14:paraId="214EC57D">
      <w:pPr>
        <w:pageBreakBefore w:val="0"/>
        <w:kinsoku/>
        <w:overflowPunct/>
        <w:topLinePunct w:val="0"/>
        <w:bidi w:val="0"/>
        <w:spacing w:line="360" w:lineRule="auto"/>
        <w:rPr>
          <w:bCs/>
          <w:color w:val="auto"/>
          <w:sz w:val="24"/>
          <w:highlight w:val="none"/>
          <w:lang w:bidi="ar-EG"/>
        </w:rPr>
      </w:pPr>
    </w:p>
    <w:p w14:paraId="5C84A21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洪湖市建坤工程咨询有限公司受洪湖市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人民医院的</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委托，就“洪湖市人民医院污水处理站运营外包服务项目（</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第二次）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”所需</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服务</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进行</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竞争性磋商</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采购，潜在供应商应</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按本公告要求</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获取采购文件，并于202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月</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日</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点</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t>0分（北京时间）前提交响应文件。</w:t>
      </w:r>
    </w:p>
    <w:p w14:paraId="6EE40A14">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480" w:firstLineChars="200"/>
        <w:jc w:val="both"/>
        <w:rPr>
          <w:rFonts w:hint="eastAsia" w:asciiTheme="minorEastAsia" w:hAnsiTheme="minorEastAsia" w:eastAsiaTheme="minorEastAsia" w:cstheme="minorEastAsia"/>
          <w:b w:val="0"/>
          <w:bCs/>
          <w:i w:val="0"/>
          <w:caps w:val="0"/>
          <w:color w:val="auto"/>
          <w:spacing w:val="0"/>
          <w:sz w:val="24"/>
          <w:szCs w:val="24"/>
          <w:highlight w:val="none"/>
          <w:shd w:val="clear" w:fill="FFFFFF"/>
          <w:lang w:eastAsia="zh-CN"/>
        </w:rPr>
      </w:pPr>
    </w:p>
    <w:p w14:paraId="4E37F6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一、项目基本情况</w:t>
      </w:r>
    </w:p>
    <w:p w14:paraId="2B1FBE56">
      <w:pPr>
        <w:pageBreakBefore w:val="0"/>
        <w:kinsoku/>
        <w:overflowPunct/>
        <w:topLinePunct w:val="0"/>
        <w:bidi w:val="0"/>
        <w:spacing w:line="360" w:lineRule="auto"/>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bookmarkStart w:id="2" w:name="_GoBack"/>
      <w:bookmarkEnd w:id="2"/>
      <w:r>
        <w:rPr>
          <w:rFonts w:hint="eastAsia" w:asciiTheme="minorEastAsia" w:hAnsiTheme="minorEastAsia" w:eastAsiaTheme="minorEastAsia" w:cstheme="minorEastAsia"/>
          <w:i w:val="0"/>
          <w:caps w:val="0"/>
          <w:color w:val="auto"/>
          <w:spacing w:val="0"/>
          <w:sz w:val="24"/>
          <w:szCs w:val="24"/>
          <w:highlight w:val="none"/>
          <w:shd w:val="clear" w:fill="FFFFFF"/>
        </w:rPr>
        <w:t>1、项目编号：HHRMYY</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ZWK</w:t>
      </w:r>
      <w:r>
        <w:rPr>
          <w:rFonts w:hint="eastAsia" w:asciiTheme="minorEastAsia" w:hAnsiTheme="minorEastAsia" w:eastAsiaTheme="minorEastAsia" w:cstheme="minorEastAsia"/>
          <w:i w:val="0"/>
          <w:caps w:val="0"/>
          <w:color w:val="auto"/>
          <w:spacing w:val="0"/>
          <w:sz w:val="24"/>
          <w:szCs w:val="24"/>
          <w:highlight w:val="none"/>
          <w:shd w:val="clear" w:fill="FFFFFF"/>
        </w:rPr>
        <w:t>-20241</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218</w:t>
      </w:r>
    </w:p>
    <w:p w14:paraId="4467442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w:t>
      </w:r>
      <w:r>
        <w:rPr>
          <w:rFonts w:hint="eastAsia" w:asciiTheme="minorEastAsia" w:hAnsiTheme="minorEastAsia" w:eastAsiaTheme="minorEastAsia" w:cstheme="minorEastAsia"/>
          <w:i w:val="0"/>
          <w:caps w:val="0"/>
          <w:color w:val="auto"/>
          <w:spacing w:val="0"/>
          <w:sz w:val="24"/>
          <w:szCs w:val="24"/>
          <w:highlight w:val="none"/>
          <w:shd w:val="clear" w:fill="FFFFFF"/>
        </w:rPr>
        <w:t>、项目名称：洪湖市人民医院污水处理站运营外包服务项目</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第二次）</w:t>
      </w:r>
    </w:p>
    <w:p w14:paraId="6342FC2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w:t>
      </w:r>
      <w:r>
        <w:rPr>
          <w:rFonts w:hint="eastAsia" w:asciiTheme="minorEastAsia" w:hAnsiTheme="minorEastAsia" w:eastAsiaTheme="minorEastAsia" w:cstheme="minorEastAsia"/>
          <w:i w:val="0"/>
          <w:caps w:val="0"/>
          <w:color w:val="auto"/>
          <w:spacing w:val="0"/>
          <w:sz w:val="24"/>
          <w:szCs w:val="24"/>
          <w:highlight w:val="none"/>
          <w:shd w:val="clear" w:fill="FFFFFF"/>
        </w:rPr>
        <w:t>、采购方式：竞争性磋商</w:t>
      </w:r>
    </w:p>
    <w:p w14:paraId="4A1F867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、预算金额：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30万元</w:t>
      </w:r>
    </w:p>
    <w:p w14:paraId="1C9C0D2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、最高限价：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30万元</w:t>
      </w:r>
    </w:p>
    <w:p w14:paraId="1B8453C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6</w:t>
      </w:r>
      <w:r>
        <w:rPr>
          <w:rFonts w:hint="eastAsia" w:asciiTheme="minorEastAsia" w:hAnsiTheme="minorEastAsia" w:eastAsiaTheme="minorEastAsia" w:cstheme="minorEastAsia"/>
          <w:i w:val="0"/>
          <w:caps w:val="0"/>
          <w:color w:val="auto"/>
          <w:spacing w:val="0"/>
          <w:sz w:val="24"/>
          <w:szCs w:val="24"/>
          <w:highlight w:val="none"/>
          <w:shd w:val="clear" w:fill="FFFFFF"/>
        </w:rPr>
        <w:t>、采购需求：洪湖市人民医院污水处理站运营外包服务项目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(详见采购需求）</w:t>
      </w:r>
    </w:p>
    <w:p w14:paraId="382943D7">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7</w:t>
      </w:r>
      <w:r>
        <w:rPr>
          <w:rFonts w:hint="eastAsia" w:asciiTheme="minorEastAsia" w:hAnsiTheme="minorEastAsia" w:eastAsiaTheme="minorEastAsia" w:cstheme="minorEastAsia"/>
          <w:i w:val="0"/>
          <w:caps w:val="0"/>
          <w:color w:val="auto"/>
          <w:spacing w:val="0"/>
          <w:sz w:val="24"/>
          <w:szCs w:val="24"/>
          <w:highlight w:val="none"/>
          <w:shd w:val="clear" w:fill="FFFFFF"/>
        </w:rPr>
        <w:t>、合同履行期限：</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1年</w:t>
      </w:r>
    </w:p>
    <w:p w14:paraId="1E2D651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8</w:t>
      </w:r>
      <w:r>
        <w:rPr>
          <w:rFonts w:hint="eastAsia" w:asciiTheme="minorEastAsia" w:hAnsiTheme="minorEastAsia" w:eastAsiaTheme="minorEastAsia" w:cstheme="minorEastAsia"/>
          <w:i w:val="0"/>
          <w:caps w:val="0"/>
          <w:color w:val="auto"/>
          <w:spacing w:val="0"/>
          <w:sz w:val="24"/>
          <w:szCs w:val="24"/>
          <w:highlight w:val="none"/>
          <w:shd w:val="clear" w:fill="FFFFFF"/>
        </w:rPr>
        <w:t>、本项目（是/否）接受联合体投标：否</w:t>
      </w:r>
    </w:p>
    <w:p w14:paraId="7FF12C5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9</w:t>
      </w:r>
      <w:r>
        <w:rPr>
          <w:rFonts w:hint="eastAsia" w:asciiTheme="minorEastAsia" w:hAnsiTheme="minorEastAsia" w:eastAsiaTheme="minorEastAsia" w:cstheme="minorEastAsia"/>
          <w:i w:val="0"/>
          <w:caps w:val="0"/>
          <w:color w:val="auto"/>
          <w:spacing w:val="0"/>
          <w:sz w:val="24"/>
          <w:szCs w:val="24"/>
          <w:highlight w:val="none"/>
          <w:shd w:val="clear" w:fill="FFFFFF"/>
        </w:rPr>
        <w:t>、是否可采购进口产品：否</w:t>
      </w:r>
    </w:p>
    <w:p w14:paraId="62573E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10、本项目</w:t>
      </w:r>
      <w:r>
        <w:rPr>
          <w:rFonts w:hint="eastAsia" w:asciiTheme="minorEastAsia" w:hAnsiTheme="minorEastAsia" w:eastAsiaTheme="minorEastAsia" w:cstheme="minorEastAsia"/>
          <w:i w:val="0"/>
          <w:caps w:val="0"/>
          <w:color w:val="auto"/>
          <w:spacing w:val="0"/>
          <w:sz w:val="24"/>
          <w:szCs w:val="24"/>
          <w:highlight w:val="none"/>
          <w:shd w:val="clear" w:fill="FFFFFF"/>
        </w:rPr>
        <w:t>（是/否</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接受合同分包：否</w:t>
      </w:r>
    </w:p>
    <w:p w14:paraId="74ECEA0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11、本项目（是/否）专门面向中小微企业：是</w:t>
      </w:r>
    </w:p>
    <w:p w14:paraId="6226214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面向中小微企业的类型为：中小微企业</w:t>
      </w:r>
    </w:p>
    <w:p w14:paraId="3497632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p>
    <w:p w14:paraId="4F41AA9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二、申请人的资格要求</w:t>
      </w:r>
    </w:p>
    <w:p w14:paraId="3A8A9BE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1、满足《中华人民共和国政府采购法》第二十二条规定，即：</w:t>
      </w:r>
    </w:p>
    <w:p w14:paraId="016CE7D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（1）具有独立承担民事责任的能力；</w:t>
      </w:r>
    </w:p>
    <w:p w14:paraId="7CCBF87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（2）具有良好的商业信誉和健全的财务会计制度；</w:t>
      </w:r>
    </w:p>
    <w:p w14:paraId="51A4B21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（3）具有履行合同所必需的设备和专业技术能力；</w:t>
      </w:r>
    </w:p>
    <w:p w14:paraId="1E0768E4">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（4）有依法缴纳税收和社会保障资金的良好记录；</w:t>
      </w:r>
    </w:p>
    <w:p w14:paraId="15BDB31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（5）参加政府采购活动前三年内，在经营活动中没有重大违法记录；</w:t>
      </w:r>
    </w:p>
    <w:p w14:paraId="24A4CA5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（6）法律、行政法规规定的其他条件。</w:t>
      </w:r>
    </w:p>
    <w:p w14:paraId="3276D73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2、单位负责人为同一人或者存在直接控股、管理关系的不同投标人，不得参加本项目同一合同项下的政府采购活动。</w:t>
      </w:r>
    </w:p>
    <w:p w14:paraId="70458E9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3、为本采购项目提供整体设计、规范编制或者项目管理、监理、检测等服务的，不得再参加本项目的其他招标采购活动。</w:t>
      </w:r>
    </w:p>
    <w:p w14:paraId="4C01F94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4、未被列入失信被执行人、重大税收违法案件当事人名单，未被列入政府采购严重违法失信行为记录名单。</w:t>
      </w:r>
    </w:p>
    <w:p w14:paraId="63D27B2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5、落实政府采购政策需满足的资格要求：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本项目专门面向中小企业，投标人应提供《中小企业声明函》，否则将视为无效投标文件。本项目</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磋商</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文件所称“中小企业”详见《政府采购促进中小企业发展管理办法》第二条。</w:t>
      </w:r>
    </w:p>
    <w:p w14:paraId="310CB430">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6、本项目的特定资格要求：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无</w:t>
      </w:r>
    </w:p>
    <w:p w14:paraId="72EAF24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三、获取采购文件</w:t>
      </w:r>
    </w:p>
    <w:p w14:paraId="1DFF218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1、时间：202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19</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25</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p w14:paraId="514F28A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洪湖市新堤茅江大道兴业小区103号门面洪湖市建坤工程咨询有限公司</w:t>
      </w:r>
    </w:p>
    <w:p w14:paraId="188874A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rPr>
      </w:pPr>
      <w:r>
        <w:rPr>
          <w:rFonts w:hint="eastAsia" w:asciiTheme="minorEastAsia" w:hAnsiTheme="minorEastAsia" w:eastAsiaTheme="minorEastAsia" w:cstheme="minorEastAsia"/>
          <w:i w:val="0"/>
          <w:caps w:val="0"/>
          <w:color w:val="auto"/>
          <w:spacing w:val="0"/>
          <w:sz w:val="24"/>
          <w:szCs w:val="24"/>
          <w:highlight w:val="none"/>
          <w:shd w:val="clear" w:fill="FFFFFF"/>
        </w:rPr>
        <w:t>3、方式：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有意参与本项目的潜在供应商在公告期内填写《供应商登记表》并加盖公章以邮件附件形式发送至指定电子邮箱：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begin"/>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instrText xml:space="preserve"> HYPERLINK "mailto:2101923491@qq.com%EF%BC%9B%E7%99%BB%E8%AE%B0" </w:instrTex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separate"/>
      </w:r>
      <w:r>
        <w:rPr>
          <w:rFonts w:hint="eastAsia" w:asciiTheme="minorEastAsia" w:hAnsiTheme="minorEastAsia" w:eastAsiaTheme="minorEastAsia" w:cstheme="minorEastAsia"/>
          <w:i w:val="0"/>
          <w:caps w:val="0"/>
          <w:color w:val="auto"/>
          <w:spacing w:val="0"/>
          <w:sz w:val="24"/>
          <w:szCs w:val="24"/>
          <w:highlight w:val="none"/>
          <w:shd w:val="clear" w:fill="FFFFFF"/>
        </w:rPr>
        <w:t>2101923491@qq.com；登记</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fldChar w:fldCharType="end"/>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表内容包括：参与项目的名称、供应商名称、联系人、联系人电话、联系人邮箱，并在附件添加营业执照的原件扫描件，法定代表人授权委托书及委托人身份证原件扫描件。</w:t>
      </w:r>
    </w:p>
    <w:p w14:paraId="5864A949">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四、响应文件提交</w:t>
      </w:r>
    </w:p>
    <w:p w14:paraId="57C5AAFB">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1、开始时间：</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202</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b w:val="0"/>
          <w:bCs/>
          <w:i w:val="0"/>
          <w:caps w:val="0"/>
          <w:color w:val="auto"/>
          <w:spacing w:val="0"/>
          <w:sz w:val="24"/>
          <w:szCs w:val="24"/>
          <w:highlight w:val="none"/>
          <w:shd w:val="clear" w:fill="FFFFFF"/>
        </w:rPr>
        <w:t>年</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12</w:t>
      </w:r>
      <w:r>
        <w:rPr>
          <w:rFonts w:hint="eastAsia" w:asciiTheme="minorEastAsia" w:hAnsiTheme="minorEastAsia" w:cstheme="minorEastAsia"/>
          <w:b w:val="0"/>
          <w:bCs/>
          <w:i w:val="0"/>
          <w:caps w:val="0"/>
          <w:color w:val="auto"/>
          <w:spacing w:val="0"/>
          <w:sz w:val="24"/>
          <w:szCs w:val="24"/>
          <w:highlight w:val="none"/>
          <w:shd w:val="clear" w:fill="FFFFFF"/>
          <w:lang w:val="en-US" w:eastAsia="zh-CN"/>
        </w:rPr>
        <w:t>月30日8时</w:t>
      </w:r>
      <w:r>
        <w:rPr>
          <w:rFonts w:hint="eastAsia" w:asciiTheme="minorEastAsia" w:hAnsiTheme="minorEastAsia" w:eastAsiaTheme="minorEastAsia" w:cstheme="minorEastAsia"/>
          <w:b w:val="0"/>
          <w:bCs/>
          <w:i w:val="0"/>
          <w:caps w:val="0"/>
          <w:color w:val="auto"/>
          <w:spacing w:val="0"/>
          <w:sz w:val="24"/>
          <w:szCs w:val="24"/>
          <w:highlight w:val="none"/>
          <w:shd w:val="clear" w:fill="FFFFFF"/>
          <w:lang w:val="en-US" w:eastAsia="zh-CN"/>
        </w:rPr>
        <w:t>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19C4E6D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2、截止时间：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2024年12月30日9时30分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67A1975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imes New Roman" w:hAnsi="Times New Roman" w:cs="宋体"/>
          <w:color w:val="auto"/>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3、地点：洪湖市新堤茅江大道兴业小区103号门面洪湖市建坤工程咨询有限公司</w:t>
      </w:r>
    </w:p>
    <w:p w14:paraId="2599BC3F">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shd w:val="clear" w:fill="FFFFFF"/>
        </w:rPr>
      </w:pPr>
    </w:p>
    <w:p w14:paraId="2F8B22E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五、开启</w:t>
      </w:r>
    </w:p>
    <w:p w14:paraId="0F1A5B0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2024年12月30日9时30分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49D3BEB8">
      <w:pPr>
        <w:pStyle w:val="28"/>
        <w:keepNext w:val="0"/>
        <w:keepLines w:val="0"/>
        <w:pageBreakBefore w:val="0"/>
        <w:widowControl/>
        <w:suppressLineNumbers w:val="0"/>
        <w:shd w:val="clear" w:fill="FFFFFF"/>
        <w:kinsoku/>
        <w:overflowPunct/>
        <w:topLinePunct w:val="0"/>
        <w:bidi w:val="0"/>
        <w:spacing w:before="0" w:beforeAutospacing="0" w:after="30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2.地点：洪湖市新堤茅江大道兴业小区103号门面洪湖市建坤工程咨询有限公司</w:t>
      </w:r>
    </w:p>
    <w:p w14:paraId="45D09478">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六、公告期限</w:t>
      </w:r>
    </w:p>
    <w:p w14:paraId="7C6E1EA1">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自本公告发布之日起</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heme="minorEastAsia" w:hAnsiTheme="minorEastAsia" w:eastAsiaTheme="minorEastAsia" w:cstheme="minorEastAsia"/>
          <w:i w:val="0"/>
          <w:caps w:val="0"/>
          <w:color w:val="auto"/>
          <w:spacing w:val="0"/>
          <w:sz w:val="24"/>
          <w:szCs w:val="24"/>
          <w:highlight w:val="none"/>
          <w:shd w:val="clear" w:fill="FFFFFF"/>
        </w:rPr>
        <w:t>个工作日。</w:t>
      </w:r>
    </w:p>
    <w:p w14:paraId="15773AE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七、其他补充事宜</w:t>
      </w:r>
    </w:p>
    <w:p w14:paraId="40EC6D3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1、采购项目需要落实的政府采购政策：落实政府采购强制、优先采购节能产品政策；政府采购优先采购环保产品政策；政府采购促进中小企业发展（监狱企业、残疾人福利性单位视同小微企业）政策：对于未预留份额专门面向中小企业的政府采购货物或服务项目，以及预留份额政府采购货物或服务项目中的非预留部分标项，对小型和微型企业的投标报价给予20%的扣除，用扣除后的价格参与评审。</w:t>
      </w:r>
    </w:p>
    <w:p w14:paraId="4674536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2、本项目不收取投标保证金，不收取招标文件工本费。</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br w:type="textWrapping"/>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3、质疑：投标人认为采购文件、采购过程和中标（成交）结果使自己的权益受到损害的，可以在知道或者应知其权益受到损害之日起7个工作日内，以书面形式向采购人或</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洪湖市建坤工程咨询有限公司</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提出质疑。联系人：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周丽</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；联系电话：</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13277333729</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；联系地址：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w:t>
      </w:r>
    </w:p>
    <w:p w14:paraId="1021FE4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、代理服务费收费标准：根据国家发展计划委员会计价格【2002】1980号、发改办价格【2003】857号文件标准按</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服务</w:t>
      </w:r>
      <w:r>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t>类向中标（成交）供应商收取。</w:t>
      </w:r>
    </w:p>
    <w:p w14:paraId="7401F155">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left"/>
        <w:rPr>
          <w:rFonts w:hint="eastAsia" w:asciiTheme="minorEastAsia" w:hAnsiTheme="minorEastAsia" w:eastAsiaTheme="minorEastAsia" w:cstheme="minorEastAsia"/>
          <w:b/>
          <w:i w:val="0"/>
          <w:caps w:val="0"/>
          <w:color w:val="auto"/>
          <w:spacing w:val="0"/>
          <w:sz w:val="27"/>
          <w:szCs w:val="27"/>
          <w:highlight w:val="none"/>
        </w:rPr>
      </w:pPr>
      <w:r>
        <w:rPr>
          <w:rFonts w:hint="eastAsia" w:asciiTheme="minorEastAsia" w:hAnsiTheme="minorEastAsia" w:eastAsiaTheme="minorEastAsia" w:cstheme="minorEastAsia"/>
          <w:b/>
          <w:i w:val="0"/>
          <w:caps w:val="0"/>
          <w:color w:val="auto"/>
          <w:spacing w:val="0"/>
          <w:sz w:val="27"/>
          <w:szCs w:val="27"/>
          <w:highlight w:val="none"/>
          <w:shd w:val="clear" w:fill="FFFFFF"/>
        </w:rPr>
        <w:t>八、凡对本次采购提出询问，请按以下方式联系</w:t>
      </w:r>
    </w:p>
    <w:p w14:paraId="0F3A7E5C">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1、采购人信息</w:t>
      </w:r>
    </w:p>
    <w:p w14:paraId="08504B86">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名   称：</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17604F6D">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color w:val="auto"/>
          <w:szCs w:val="24"/>
        </w:rPr>
        <w:t>湖北省洪湖市洪林路22号</w:t>
      </w:r>
    </w:p>
    <w:p w14:paraId="43DC9B26">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07B02B3A">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2、采购代理机构信息</w:t>
      </w:r>
    </w:p>
    <w:p w14:paraId="2F1F608E">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名   称：洪湖市建坤工程咨询有限公司</w:t>
      </w:r>
    </w:p>
    <w:p w14:paraId="211FCCE3">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地   址：</w:t>
      </w:r>
      <w:r>
        <w:rPr>
          <w:rFonts w:hint="eastAsia" w:ascii="Times New Roman" w:hAnsi="Times New Roman"/>
          <w:color w:val="auto"/>
          <w:kern w:val="0"/>
          <w:sz w:val="24"/>
          <w:highlight w:val="none"/>
          <w:lang w:eastAsia="zh-CN"/>
        </w:rPr>
        <w:t>洪湖市新堤茅江大道兴业小区</w:t>
      </w:r>
      <w:r>
        <w:rPr>
          <w:rFonts w:hint="eastAsia" w:ascii="Times New Roman" w:hAnsi="Times New Roman"/>
          <w:color w:val="auto"/>
          <w:kern w:val="0"/>
          <w:sz w:val="24"/>
          <w:highlight w:val="none"/>
          <w:lang w:val="en-US" w:eastAsia="zh-CN"/>
        </w:rPr>
        <w:t>103号门面</w:t>
      </w:r>
    </w:p>
    <w:p w14:paraId="5179A63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联系方式：</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50CBD642">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rPr>
      </w:pPr>
      <w:r>
        <w:rPr>
          <w:rFonts w:hint="eastAsia" w:asciiTheme="minorEastAsia" w:hAnsiTheme="minorEastAsia" w:eastAsiaTheme="minorEastAsia" w:cstheme="minorEastAsia"/>
          <w:i w:val="0"/>
          <w:caps w:val="0"/>
          <w:color w:val="auto"/>
          <w:spacing w:val="0"/>
          <w:sz w:val="24"/>
          <w:szCs w:val="24"/>
          <w:highlight w:val="none"/>
          <w:shd w:val="clear" w:fill="FFFFFF"/>
        </w:rPr>
        <w:t>3、项目联系方式</w:t>
      </w:r>
    </w:p>
    <w:p w14:paraId="29C6E256">
      <w:pPr>
        <w:pStyle w:val="28"/>
        <w:keepNext w:val="0"/>
        <w:keepLines w:val="0"/>
        <w:pageBreakBefore w:val="0"/>
        <w:widowControl/>
        <w:suppressLineNumbers w:val="0"/>
        <w:shd w:val="clear" w:fill="FFFFFF"/>
        <w:kinsoku/>
        <w:overflowPunct/>
        <w:topLinePunct w:val="0"/>
        <w:bidi w:val="0"/>
        <w:spacing w:before="0" w:beforeAutospacing="0" w:after="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项目联系人：</w:t>
      </w:r>
      <w:r>
        <w:rPr>
          <w:rFonts w:hint="eastAsia" w:asciiTheme="minorEastAsia" w:hAnsiTheme="minorEastAsia" w:cstheme="minorEastAsia"/>
          <w:i w:val="0"/>
          <w:caps w:val="0"/>
          <w:color w:val="auto"/>
          <w:spacing w:val="0"/>
          <w:sz w:val="24"/>
          <w:szCs w:val="24"/>
          <w:highlight w:val="none"/>
          <w:shd w:val="clear" w:fill="FFFFFF"/>
          <w:lang w:eastAsia="zh-CN"/>
        </w:rPr>
        <w:t>周丽</w:t>
      </w:r>
    </w:p>
    <w:p w14:paraId="4630369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eastAsia" w:asciiTheme="minorEastAsia" w:hAnsiTheme="minorEastAsia" w:eastAsiaTheme="minorEastAsia" w:cstheme="minorEastAsia"/>
          <w:i w:val="0"/>
          <w:caps w:val="0"/>
          <w:color w:val="auto"/>
          <w:spacing w:val="0"/>
          <w:sz w:val="24"/>
          <w:szCs w:val="24"/>
          <w:highlight w:val="none"/>
          <w:shd w:val="clear" w:fill="FFFFFF"/>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电   话：</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13277333179</w:t>
      </w:r>
    </w:p>
    <w:p w14:paraId="4D709418">
      <w:pPr>
        <w:pStyle w:val="28"/>
        <w:keepNext w:val="0"/>
        <w:keepLines w:val="0"/>
        <w:pageBreakBefore w:val="0"/>
        <w:widowControl/>
        <w:suppressLineNumbers w:val="0"/>
        <w:shd w:val="clear" w:fill="FFFFFF"/>
        <w:kinsoku/>
        <w:overflowPunct/>
        <w:topLinePunct w:val="0"/>
        <w:bidi w:val="0"/>
        <w:spacing w:before="0" w:beforeAutospacing="0" w:after="150" w:afterAutospacing="0" w:line="360" w:lineRule="auto"/>
        <w:ind w:left="0" w:right="0" w:firstLine="0"/>
        <w:jc w:val="both"/>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邮</w:t>
      </w:r>
      <w:r>
        <w:rPr>
          <w:rFonts w:hint="eastAsia" w:asciiTheme="minorEastAsia" w:hAnsiTheme="minorEastAsia" w:eastAsiaTheme="minorEastAsia" w:cstheme="minorEastAsia"/>
          <w:i w:val="0"/>
          <w:caps w:val="0"/>
          <w:color w:val="auto"/>
          <w:spacing w:val="0"/>
          <w:sz w:val="24"/>
          <w:szCs w:val="24"/>
          <w:highlight w:val="none"/>
          <w:shd w:val="clear" w:fill="FFFFFF"/>
        </w:rPr>
        <w:t>   </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箱：</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2101923491@qq.com</w:t>
      </w:r>
    </w:p>
    <w:p w14:paraId="49141C2B">
      <w:pPr>
        <w:pageBreakBefore w:val="0"/>
        <w:kinsoku/>
        <w:overflowPunct/>
        <w:topLinePunct w:val="0"/>
        <w:bidi w:val="0"/>
        <w:spacing w:line="360" w:lineRule="auto"/>
        <w:rPr>
          <w:rFonts w:hint="eastAsia" w:asciiTheme="minorEastAsia" w:hAnsiTheme="minorEastAsia" w:eastAsiaTheme="minorEastAsia" w:cstheme="minorEastAsia"/>
          <w:color w:val="auto"/>
          <w:highlight w:val="none"/>
        </w:rPr>
      </w:pPr>
    </w:p>
    <w:p w14:paraId="5FDAE750">
      <w:pPr>
        <w:pageBreakBefore w:val="0"/>
        <w:kinsoku/>
        <w:overflowPunct/>
        <w:topLinePunct w:val="0"/>
        <w:bidi w:val="0"/>
        <w:spacing w:line="360" w:lineRule="auto"/>
        <w:rPr>
          <w:color w:val="auto"/>
          <w:highlight w:val="none"/>
          <w:lang w:val="hr-HR"/>
        </w:rPr>
      </w:pPr>
    </w:p>
    <w:p w14:paraId="0AA8DF3C">
      <w:pPr>
        <w:pageBreakBefore w:val="0"/>
        <w:kinsoku/>
        <w:overflowPunct/>
        <w:topLinePunct w:val="0"/>
        <w:bidi w:val="0"/>
        <w:spacing w:line="360" w:lineRule="auto"/>
        <w:ind w:right="480"/>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lang w:val="hr-HR" w:bidi="ar-EG"/>
        </w:rPr>
        <w:t>第二章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bCs/>
          <w:color w:val="auto"/>
          <w:sz w:val="40"/>
          <w:szCs w:val="40"/>
          <w:highlight w:val="none"/>
        </w:rPr>
        <w:t>磋</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商</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须</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知</w:t>
      </w:r>
    </w:p>
    <w:p w14:paraId="78C4A3AE">
      <w:pPr>
        <w:pageBreakBefore w:val="0"/>
        <w:kinsoku/>
        <w:overflowPunct/>
        <w:topLinePunct w:val="0"/>
        <w:bidi w:val="0"/>
        <w:spacing w:line="360" w:lineRule="auto"/>
        <w:jc w:val="center"/>
        <w:rPr>
          <w:rFonts w:ascii="Times New Roman" w:hAnsi="Times New Roman"/>
          <w:color w:val="auto"/>
          <w:szCs w:val="28"/>
          <w:highlight w:val="none"/>
        </w:rPr>
      </w:pPr>
    </w:p>
    <w:p w14:paraId="620B1F8C">
      <w:pPr>
        <w:pageBreakBefore w:val="0"/>
        <w:kinsoku/>
        <w:overflowPunct/>
        <w:topLinePunct w:val="0"/>
        <w:bidi w:val="0"/>
        <w:spacing w:afterLines="50" w:line="360" w:lineRule="auto"/>
        <w:jc w:val="center"/>
        <w:rPr>
          <w:rFonts w:ascii="Times New Roman" w:hAnsi="Times New Roman"/>
          <w:color w:val="auto"/>
          <w:sz w:val="28"/>
          <w:szCs w:val="28"/>
          <w:highlight w:val="none"/>
        </w:rPr>
      </w:pPr>
      <w:r>
        <w:rPr>
          <w:rFonts w:ascii="Times New Roman" w:hAnsi="Times New Roman"/>
          <w:color w:val="auto"/>
          <w:sz w:val="28"/>
          <w:szCs w:val="28"/>
          <w:highlight w:val="none"/>
        </w:rPr>
        <w:t>磋商须知前附表</w:t>
      </w:r>
    </w:p>
    <w:tbl>
      <w:tblPr>
        <w:tblStyle w:val="30"/>
        <w:tblW w:w="8522"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277"/>
        <w:gridCol w:w="6429"/>
      </w:tblGrid>
      <w:tr w14:paraId="4EE7D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0CCB2A1B">
            <w:pPr>
              <w:pageBreakBefore w:val="0"/>
              <w:kinsoku/>
              <w:overflowPunct/>
              <w:topLinePunct w:val="0"/>
              <w:bidi w:val="0"/>
              <w:spacing w:line="360" w:lineRule="auto"/>
              <w:ind w:left="36" w:leftChars="-50" w:right="-80" w:rightChars="-38" w:hanging="141" w:hangingChars="59"/>
              <w:jc w:val="center"/>
              <w:rPr>
                <w:color w:val="auto"/>
                <w:kern w:val="0"/>
                <w:sz w:val="24"/>
                <w:highlight w:val="none"/>
              </w:rPr>
            </w:pPr>
            <w:r>
              <w:rPr>
                <w:rFonts w:hint="eastAsia" w:cs="宋体"/>
                <w:color w:val="auto"/>
                <w:kern w:val="0"/>
                <w:sz w:val="24"/>
                <w:highlight w:val="none"/>
              </w:rPr>
              <w:t>条款号</w:t>
            </w:r>
          </w:p>
        </w:tc>
        <w:tc>
          <w:tcPr>
            <w:tcW w:w="1277" w:type="dxa"/>
            <w:noWrap w:val="0"/>
            <w:vAlign w:val="center"/>
          </w:tcPr>
          <w:p w14:paraId="626F6096">
            <w:pPr>
              <w:pageBreakBefore w:val="0"/>
              <w:kinsoku/>
              <w:overflowPunct/>
              <w:topLinePunct w:val="0"/>
              <w:bidi w:val="0"/>
              <w:spacing w:line="360" w:lineRule="auto"/>
              <w:jc w:val="center"/>
              <w:rPr>
                <w:color w:val="auto"/>
                <w:kern w:val="0"/>
                <w:sz w:val="24"/>
                <w:highlight w:val="none"/>
              </w:rPr>
            </w:pPr>
            <w:r>
              <w:rPr>
                <w:rFonts w:hint="eastAsia" w:cs="宋体"/>
                <w:color w:val="auto"/>
                <w:kern w:val="0"/>
                <w:sz w:val="24"/>
                <w:highlight w:val="none"/>
              </w:rPr>
              <w:t>名称</w:t>
            </w:r>
          </w:p>
        </w:tc>
        <w:tc>
          <w:tcPr>
            <w:tcW w:w="6429" w:type="dxa"/>
            <w:noWrap w:val="0"/>
            <w:vAlign w:val="center"/>
          </w:tcPr>
          <w:p w14:paraId="405785ED">
            <w:pPr>
              <w:pageBreakBefore w:val="0"/>
              <w:kinsoku/>
              <w:overflowPunct/>
              <w:topLinePunct w:val="0"/>
              <w:bidi w:val="0"/>
              <w:spacing w:line="360" w:lineRule="auto"/>
              <w:jc w:val="center"/>
              <w:rPr>
                <w:color w:val="auto"/>
                <w:kern w:val="0"/>
                <w:sz w:val="24"/>
                <w:highlight w:val="none"/>
              </w:rPr>
            </w:pPr>
            <w:r>
              <w:rPr>
                <w:rFonts w:hint="eastAsia" w:cs="宋体"/>
                <w:color w:val="auto"/>
                <w:kern w:val="0"/>
                <w:sz w:val="24"/>
                <w:highlight w:val="none"/>
              </w:rPr>
              <w:t>内</w:t>
            </w:r>
            <w:r>
              <w:rPr>
                <w:rFonts w:hint="eastAsia" w:cs="宋体"/>
                <w:color w:val="auto"/>
                <w:kern w:val="0"/>
                <w:sz w:val="24"/>
                <w:highlight w:val="none"/>
                <w:lang w:val="en-US" w:eastAsia="zh-CN"/>
              </w:rPr>
              <w:t xml:space="preserve">   </w:t>
            </w:r>
            <w:r>
              <w:rPr>
                <w:rFonts w:hint="eastAsia" w:cs="宋体"/>
                <w:color w:val="auto"/>
                <w:kern w:val="0"/>
                <w:sz w:val="24"/>
                <w:highlight w:val="none"/>
              </w:rPr>
              <w:t>容</w:t>
            </w:r>
          </w:p>
        </w:tc>
      </w:tr>
      <w:tr w14:paraId="5A22D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693EEC0">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1</w:t>
            </w:r>
          </w:p>
        </w:tc>
        <w:tc>
          <w:tcPr>
            <w:tcW w:w="1277" w:type="dxa"/>
            <w:noWrap w:val="0"/>
            <w:vAlign w:val="center"/>
          </w:tcPr>
          <w:p w14:paraId="57A539DD">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项目编号</w:t>
            </w:r>
          </w:p>
        </w:tc>
        <w:tc>
          <w:tcPr>
            <w:tcW w:w="6429" w:type="dxa"/>
            <w:noWrap w:val="0"/>
            <w:vAlign w:val="center"/>
          </w:tcPr>
          <w:p w14:paraId="54FDC264">
            <w:pPr>
              <w:pageBreakBefore w:val="0"/>
              <w:kinsoku/>
              <w:overflowPunct/>
              <w:topLinePunct w:val="0"/>
              <w:bidi w:val="0"/>
              <w:spacing w:line="360" w:lineRule="auto"/>
              <w:rPr>
                <w:rFonts w:hint="default"/>
                <w:color w:val="auto"/>
                <w:kern w:val="0"/>
                <w:sz w:val="24"/>
                <w:highlight w:val="none"/>
                <w:lang w:val="en-US"/>
              </w:rPr>
            </w:pPr>
            <w:r>
              <w:rPr>
                <w:rFonts w:hint="eastAsia" w:asciiTheme="minorEastAsia" w:hAnsiTheme="minorEastAsia" w:eastAsiaTheme="minorEastAsia" w:cstheme="minorEastAsia"/>
                <w:i w:val="0"/>
                <w:caps w:val="0"/>
                <w:color w:val="auto"/>
                <w:spacing w:val="0"/>
                <w:sz w:val="24"/>
                <w:szCs w:val="24"/>
                <w:highlight w:val="none"/>
                <w:shd w:val="clear" w:fill="FFFFFF"/>
              </w:rPr>
              <w:t>HHRMYYSBK-2024112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5</w:t>
            </w:r>
            <w:r>
              <w:rPr>
                <w:rFonts w:hint="eastAsia" w:ascii="Times New Roman" w:hAnsi="Times New Roman" w:eastAsia="宋体" w:cs="Times New Roman"/>
                <w:color w:val="auto"/>
                <w:sz w:val="24"/>
                <w:highlight w:val="none"/>
              </w:rPr>
              <w:fldChar w:fldCharType="begin"/>
            </w:r>
            <w:r>
              <w:rPr>
                <w:rFonts w:hint="eastAsia" w:ascii="Times New Roman" w:hAnsi="Times New Roman" w:eastAsia="宋体" w:cs="Times New Roman"/>
                <w:color w:val="auto"/>
                <w:sz w:val="24"/>
                <w:highlight w:val="none"/>
              </w:rPr>
              <w:instrText xml:space="preserve">&lt;MK&gt;pro.schemecode&lt;/MK&gt;</w:instrText>
            </w:r>
            <w:r>
              <w:rPr>
                <w:rFonts w:hint="eastAsia" w:ascii="Times New Roman" w:hAnsi="Times New Roman" w:eastAsia="宋体" w:cs="Times New Roman"/>
                <w:color w:val="auto"/>
                <w:sz w:val="24"/>
                <w:highlight w:val="none"/>
              </w:rPr>
              <w:fldChar w:fldCharType="end"/>
            </w:r>
          </w:p>
        </w:tc>
      </w:tr>
      <w:tr w14:paraId="1B34C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16" w:type="dxa"/>
            <w:noWrap w:val="0"/>
            <w:vAlign w:val="center"/>
          </w:tcPr>
          <w:p w14:paraId="7888DBD7">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2</w:t>
            </w:r>
          </w:p>
        </w:tc>
        <w:tc>
          <w:tcPr>
            <w:tcW w:w="1277" w:type="dxa"/>
            <w:noWrap w:val="0"/>
            <w:vAlign w:val="center"/>
          </w:tcPr>
          <w:p w14:paraId="37E66B56">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项目名称</w:t>
            </w:r>
          </w:p>
        </w:tc>
        <w:tc>
          <w:tcPr>
            <w:tcW w:w="6429" w:type="dxa"/>
            <w:noWrap w:val="0"/>
            <w:vAlign w:val="center"/>
          </w:tcPr>
          <w:p w14:paraId="643FFEA8">
            <w:pPr>
              <w:pageBreakBefore w:val="0"/>
              <w:kinsoku/>
              <w:overflowPunct/>
              <w:topLinePunct w:val="0"/>
              <w:bidi w:val="0"/>
              <w:spacing w:line="360" w:lineRule="auto"/>
              <w:rPr>
                <w:rFonts w:hint="default" w:ascii="Times New Roman" w:hAnsi="Times New Roman" w:cs="Times New Roman" w:eastAsiaTheme="minorEastAsia"/>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洪湖市人民医院污水处理站运营外包服务项目</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第二次）</w:t>
            </w:r>
          </w:p>
        </w:tc>
      </w:tr>
      <w:tr w14:paraId="38C57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71E30E1">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3</w:t>
            </w:r>
          </w:p>
        </w:tc>
        <w:tc>
          <w:tcPr>
            <w:tcW w:w="1277" w:type="dxa"/>
            <w:noWrap w:val="0"/>
            <w:vAlign w:val="center"/>
          </w:tcPr>
          <w:p w14:paraId="11024DF0">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采购内容</w:t>
            </w:r>
          </w:p>
        </w:tc>
        <w:tc>
          <w:tcPr>
            <w:tcW w:w="6429" w:type="dxa"/>
            <w:noWrap w:val="0"/>
            <w:vAlign w:val="center"/>
          </w:tcPr>
          <w:p w14:paraId="0292AB2C">
            <w:pPr>
              <w:pageBreakBefore w:val="0"/>
              <w:kinsoku/>
              <w:overflowPunct/>
              <w:topLinePunct w:val="0"/>
              <w:bidi w:val="0"/>
              <w:spacing w:line="360" w:lineRule="auto"/>
              <w:rPr>
                <w:rFonts w:hint="eastAsia" w:ascii="Times New Roman" w:hAnsi="Times New Roman" w:eastAsia="宋体" w:cs="Times New Roman"/>
                <w:color w:val="auto"/>
                <w:sz w:val="24"/>
                <w:highlight w:val="none"/>
                <w:lang w:eastAsia="zh-CN"/>
              </w:rPr>
            </w:pPr>
            <w:r>
              <w:rPr>
                <w:rFonts w:hint="eastAsia" w:asciiTheme="minorEastAsia" w:hAnsiTheme="minorEastAsia" w:eastAsiaTheme="minorEastAsia" w:cstheme="minorEastAsia"/>
                <w:i w:val="0"/>
                <w:caps w:val="0"/>
                <w:color w:val="auto"/>
                <w:spacing w:val="0"/>
                <w:sz w:val="24"/>
                <w:szCs w:val="24"/>
                <w:highlight w:val="none"/>
                <w:shd w:val="clear" w:fill="FFFFFF"/>
              </w:rPr>
              <w:t>洪湖市人民医院污水处理站运营外包服务项目</w:t>
            </w:r>
            <w:r>
              <w:rPr>
                <w:rFonts w:hint="eastAsia" w:ascii="Times New Roman" w:hAnsi="Times New Roman" w:eastAsia="宋体" w:cs="Times New Roman"/>
                <w:color w:val="auto"/>
                <w:sz w:val="24"/>
                <w:highlight w:val="none"/>
                <w:lang w:val="en-US" w:eastAsia="zh-CN"/>
              </w:rPr>
              <w:t>(详见采购</w:t>
            </w:r>
            <w:r>
              <w:rPr>
                <w:rFonts w:hint="eastAsia" w:ascii="Times New Roman" w:hAnsi="Times New Roman" w:cs="Times New Roman"/>
                <w:color w:val="auto"/>
                <w:sz w:val="24"/>
                <w:highlight w:val="none"/>
                <w:lang w:val="en-US" w:eastAsia="zh-CN"/>
              </w:rPr>
              <w:t>需求</w:t>
            </w:r>
            <w:r>
              <w:rPr>
                <w:rFonts w:hint="eastAsia" w:ascii="Times New Roman" w:hAnsi="Times New Roman" w:eastAsia="宋体" w:cs="Times New Roman"/>
                <w:color w:val="auto"/>
                <w:sz w:val="24"/>
                <w:highlight w:val="none"/>
                <w:lang w:val="en-US" w:eastAsia="zh-CN"/>
              </w:rPr>
              <w:t>）</w:t>
            </w:r>
          </w:p>
        </w:tc>
      </w:tr>
      <w:tr w14:paraId="597C8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EC4520C">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4</w:t>
            </w:r>
          </w:p>
        </w:tc>
        <w:tc>
          <w:tcPr>
            <w:tcW w:w="1277" w:type="dxa"/>
            <w:noWrap w:val="0"/>
            <w:vAlign w:val="center"/>
          </w:tcPr>
          <w:p w14:paraId="2BCA4971">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采购预算</w:t>
            </w:r>
          </w:p>
        </w:tc>
        <w:tc>
          <w:tcPr>
            <w:tcW w:w="6429" w:type="dxa"/>
            <w:noWrap w:val="0"/>
            <w:vAlign w:val="center"/>
          </w:tcPr>
          <w:p w14:paraId="0A2DD50A">
            <w:pPr>
              <w:pageBreakBefore w:val="0"/>
              <w:kinsoku/>
              <w:overflowPunct/>
              <w:topLinePunct w:val="0"/>
              <w:bidi w:val="0"/>
              <w:spacing w:line="360" w:lineRule="auto"/>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采购预算：人民币</w:t>
            </w:r>
            <w:r>
              <w:rPr>
                <w:rFonts w:hint="eastAsia" w:ascii="Times New Roman" w:hAnsi="Times New Roman" w:cs="Times New Roman"/>
                <w:color w:val="auto"/>
                <w:sz w:val="24"/>
                <w:highlight w:val="none"/>
                <w:lang w:val="en-US" w:eastAsia="zh-CN"/>
              </w:rPr>
              <w:t>30</w:t>
            </w:r>
            <w:r>
              <w:rPr>
                <w:rFonts w:hint="eastAsia" w:ascii="Times New Roman" w:hAnsi="Times New Roman" w:eastAsia="宋体" w:cs="Times New Roman"/>
                <w:color w:val="auto"/>
                <w:sz w:val="24"/>
                <w:highlight w:val="none"/>
              </w:rPr>
              <w:t>万元；最高限价：人民币</w:t>
            </w:r>
            <w:r>
              <w:rPr>
                <w:rFonts w:hint="eastAsia" w:ascii="Times New Roman" w:hAnsi="Times New Roman" w:cs="Times New Roman"/>
                <w:color w:val="auto"/>
                <w:sz w:val="24"/>
                <w:highlight w:val="none"/>
                <w:lang w:val="en-US" w:eastAsia="zh-CN"/>
              </w:rPr>
              <w:t>30万</w:t>
            </w:r>
            <w:r>
              <w:rPr>
                <w:rFonts w:hint="eastAsia" w:ascii="Times New Roman" w:hAnsi="Times New Roman" w:eastAsia="宋体" w:cs="Times New Roman"/>
                <w:color w:val="auto"/>
                <w:sz w:val="24"/>
                <w:highlight w:val="none"/>
                <w:lang w:val="en-US" w:eastAsia="zh-CN"/>
              </w:rPr>
              <w:t>元</w:t>
            </w:r>
          </w:p>
        </w:tc>
      </w:tr>
      <w:tr w14:paraId="4F83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7EBEBD2">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5</w:t>
            </w:r>
          </w:p>
        </w:tc>
        <w:tc>
          <w:tcPr>
            <w:tcW w:w="1277" w:type="dxa"/>
            <w:noWrap w:val="0"/>
            <w:vAlign w:val="center"/>
          </w:tcPr>
          <w:p w14:paraId="05A826F7">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采购人</w:t>
            </w:r>
          </w:p>
        </w:tc>
        <w:tc>
          <w:tcPr>
            <w:tcW w:w="6429" w:type="dxa"/>
            <w:noWrap w:val="0"/>
            <w:vAlign w:val="center"/>
          </w:tcPr>
          <w:p w14:paraId="6D6557C9">
            <w:pPr>
              <w:pageBreakBefore w:val="0"/>
              <w:kinsoku/>
              <w:overflowPunct/>
              <w:topLinePunct w:val="0"/>
              <w:bidi w:val="0"/>
              <w:spacing w:line="360" w:lineRule="auto"/>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cs="宋体"/>
                <w:color w:val="auto"/>
                <w:kern w:val="0"/>
                <w:sz w:val="24"/>
                <w:highlight w:val="none"/>
              </w:rPr>
              <w:t>采购人：</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p>
          <w:p w14:paraId="2AF612F7">
            <w:pPr>
              <w:pageBreakBefore w:val="0"/>
              <w:kinsoku/>
              <w:overflowPunct/>
              <w:topLinePunct w:val="0"/>
              <w:bidi w:val="0"/>
              <w:spacing w:line="360" w:lineRule="auto"/>
              <w:rPr>
                <w:rFonts w:hint="default" w:asciiTheme="minorEastAsia" w:hAnsiTheme="minorEastAsia" w:eastAsiaTheme="minorEastAsia" w:cstheme="minorEastAsia"/>
                <w:i w:val="0"/>
                <w:caps w:val="0"/>
                <w:color w:val="auto"/>
                <w:spacing w:val="0"/>
                <w:sz w:val="24"/>
                <w:szCs w:val="24"/>
                <w:highlight w:val="none"/>
                <w:shd w:val="clear" w:fill="FFFFFF"/>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联系人：</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徐李明</w:t>
            </w:r>
          </w:p>
          <w:p w14:paraId="6C5BE306">
            <w:pPr>
              <w:pageBreakBefore w:val="0"/>
              <w:kinsoku/>
              <w:overflowPunct/>
              <w:topLinePunct w:val="0"/>
              <w:bidi w:val="0"/>
              <w:spacing w:line="360" w:lineRule="auto"/>
              <w:rPr>
                <w:rFonts w:hint="default" w:ascii="Times New Roman" w:hAnsi="Times New Roman" w:eastAsia="宋体" w:cs="Times New Roman"/>
                <w:color w:val="auto"/>
                <w:sz w:val="24"/>
                <w:highlight w:val="none"/>
                <w:lang w:val="en-US" w:eastAsia="zh-CN"/>
              </w:rPr>
            </w:pP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联系信息：</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15927795917</w:t>
            </w:r>
          </w:p>
          <w:p w14:paraId="6B67EFBF">
            <w:pPr>
              <w:pageBreakBefore w:val="0"/>
              <w:kinsoku/>
              <w:overflowPunct/>
              <w:topLinePunct w:val="0"/>
              <w:bidi w:val="0"/>
              <w:spacing w:line="360" w:lineRule="auto"/>
              <w:rPr>
                <w:rFonts w:hint="default" w:eastAsia="宋体" w:cs="宋体"/>
                <w:color w:val="auto"/>
                <w:kern w:val="0"/>
                <w:sz w:val="24"/>
                <w:highlight w:val="none"/>
                <w:lang w:val="en-US" w:eastAsia="zh-CN"/>
              </w:rPr>
            </w:pPr>
            <w:r>
              <w:rPr>
                <w:rFonts w:hint="eastAsia" w:ascii="Times New Roman" w:hAnsi="Times New Roman" w:eastAsia="宋体" w:cs="Times New Roman"/>
                <w:color w:val="auto"/>
                <w:sz w:val="24"/>
                <w:highlight w:val="none"/>
              </w:rPr>
              <w:t>地址：湖北省洪湖市洪林路22号</w:t>
            </w:r>
          </w:p>
        </w:tc>
      </w:tr>
      <w:tr w14:paraId="6A24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trPr>
        <w:tc>
          <w:tcPr>
            <w:tcW w:w="816" w:type="dxa"/>
            <w:noWrap w:val="0"/>
            <w:vAlign w:val="center"/>
          </w:tcPr>
          <w:p w14:paraId="08EA52B7">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6</w:t>
            </w:r>
          </w:p>
        </w:tc>
        <w:tc>
          <w:tcPr>
            <w:tcW w:w="1277" w:type="dxa"/>
            <w:noWrap w:val="0"/>
            <w:vAlign w:val="center"/>
          </w:tcPr>
          <w:p w14:paraId="291A7941">
            <w:pPr>
              <w:pageBreakBefore w:val="0"/>
              <w:kinsoku/>
              <w:overflowPunct/>
              <w:topLinePunct w:val="0"/>
              <w:bidi w:val="0"/>
              <w:spacing w:line="360" w:lineRule="auto"/>
              <w:rPr>
                <w:rFonts w:cs="宋体"/>
                <w:color w:val="auto"/>
                <w:kern w:val="0"/>
                <w:sz w:val="24"/>
                <w:highlight w:val="none"/>
              </w:rPr>
            </w:pPr>
            <w:r>
              <w:rPr>
                <w:rFonts w:hint="eastAsia" w:cs="宋体"/>
                <w:color w:val="auto"/>
                <w:kern w:val="0"/>
                <w:sz w:val="24"/>
                <w:highlight w:val="none"/>
                <w:lang w:val="en-US" w:eastAsia="zh-CN"/>
              </w:rPr>
              <w:t>分散</w:t>
            </w:r>
            <w:r>
              <w:rPr>
                <w:rFonts w:hint="eastAsia" w:cs="宋体"/>
                <w:color w:val="auto"/>
                <w:kern w:val="0"/>
                <w:sz w:val="24"/>
                <w:highlight w:val="none"/>
              </w:rPr>
              <w:t>采</w:t>
            </w:r>
          </w:p>
          <w:p w14:paraId="446E1FFD">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购机构</w:t>
            </w:r>
          </w:p>
        </w:tc>
        <w:tc>
          <w:tcPr>
            <w:tcW w:w="6429" w:type="dxa"/>
            <w:noWrap w:val="0"/>
            <w:vAlign w:val="center"/>
          </w:tcPr>
          <w:p w14:paraId="0917D0D7">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名称：</w:t>
            </w:r>
            <w:r>
              <w:rPr>
                <w:rFonts w:hint="eastAsia" w:cs="宋体"/>
                <w:color w:val="auto"/>
                <w:kern w:val="0"/>
                <w:sz w:val="24"/>
                <w:highlight w:val="none"/>
                <w:lang w:val="en-US" w:eastAsia="zh-CN"/>
              </w:rPr>
              <w:t>洪湖市建坤工程咨询有限公司</w:t>
            </w:r>
            <w:r>
              <w:rPr>
                <w:color w:val="auto"/>
                <w:kern w:val="0"/>
                <w:sz w:val="24"/>
                <w:highlight w:val="none"/>
              </w:rPr>
              <w:fldChar w:fldCharType="begin"/>
            </w:r>
            <w:r>
              <w:rPr>
                <w:color w:val="auto"/>
                <w:kern w:val="0"/>
                <w:sz w:val="24"/>
                <w:highlight w:val="none"/>
              </w:rPr>
              <w:instrText xml:space="preserve">&lt;MK&gt; org.organname&lt;/MK&gt;</w:instrText>
            </w:r>
            <w:r>
              <w:rPr>
                <w:color w:val="auto"/>
                <w:kern w:val="0"/>
                <w:sz w:val="24"/>
                <w:highlight w:val="none"/>
              </w:rPr>
              <w:fldChar w:fldCharType="end"/>
            </w:r>
          </w:p>
          <w:p w14:paraId="458E0246">
            <w:pPr>
              <w:pageBreakBefore w:val="0"/>
              <w:kinsoku/>
              <w:overflowPunct/>
              <w:topLinePunct w:val="0"/>
              <w:bidi w:val="0"/>
              <w:spacing w:line="360" w:lineRule="auto"/>
              <w:rPr>
                <w:rFonts w:hint="eastAsia" w:cs="宋体"/>
                <w:color w:val="auto"/>
                <w:kern w:val="0"/>
                <w:sz w:val="24"/>
                <w:highlight w:val="none"/>
                <w:lang w:val="en-US" w:eastAsia="zh-CN"/>
              </w:rPr>
            </w:pPr>
            <w:r>
              <w:rPr>
                <w:rFonts w:hint="eastAsia" w:cs="宋体"/>
                <w:color w:val="auto"/>
                <w:kern w:val="0"/>
                <w:sz w:val="24"/>
                <w:highlight w:val="none"/>
              </w:rPr>
              <w:t>联系人：</w:t>
            </w:r>
            <w:r>
              <w:rPr>
                <w:rFonts w:hint="eastAsia" w:cs="宋体"/>
                <w:color w:val="auto"/>
                <w:kern w:val="0"/>
                <w:sz w:val="24"/>
                <w:highlight w:val="none"/>
                <w:lang w:val="en-US" w:eastAsia="zh-CN"/>
              </w:rPr>
              <w:t>周丽</w:t>
            </w:r>
          </w:p>
          <w:p w14:paraId="6FAA72AE">
            <w:pPr>
              <w:pageBreakBefore w:val="0"/>
              <w:kinsoku/>
              <w:overflowPunct/>
              <w:topLinePunct w:val="0"/>
              <w:bidi w:val="0"/>
              <w:spacing w:line="360" w:lineRule="auto"/>
              <w:rPr>
                <w:rFonts w:hint="default" w:eastAsia="宋体"/>
                <w:color w:val="auto"/>
                <w:kern w:val="0"/>
                <w:sz w:val="24"/>
                <w:highlight w:val="none"/>
                <w:lang w:val="en-US" w:eastAsia="zh-CN"/>
              </w:rPr>
            </w:pPr>
            <w:r>
              <w:rPr>
                <w:rFonts w:hint="eastAsia" w:cs="宋体"/>
                <w:color w:val="auto"/>
                <w:kern w:val="0"/>
                <w:sz w:val="24"/>
                <w:highlight w:val="none"/>
              </w:rPr>
              <w:t>联系电话：</w:t>
            </w:r>
            <w:r>
              <w:rPr>
                <w:rFonts w:hint="eastAsia"/>
                <w:color w:val="auto"/>
                <w:kern w:val="0"/>
                <w:sz w:val="24"/>
                <w:highlight w:val="none"/>
                <w:lang w:val="en-US" w:eastAsia="zh-CN"/>
              </w:rPr>
              <w:t>13277333179</w:t>
            </w:r>
          </w:p>
          <w:p w14:paraId="45D8AC46">
            <w:pPr>
              <w:pageBreakBefore w:val="0"/>
              <w:kinsoku/>
              <w:overflowPunct/>
              <w:topLinePunct w:val="0"/>
              <w:bidi w:val="0"/>
              <w:spacing w:line="360" w:lineRule="auto"/>
              <w:ind w:left="720" w:hanging="720" w:hangingChars="300"/>
              <w:rPr>
                <w:color w:val="auto"/>
                <w:kern w:val="0"/>
                <w:sz w:val="24"/>
                <w:highlight w:val="none"/>
              </w:rPr>
            </w:pPr>
            <w:r>
              <w:rPr>
                <w:rFonts w:hint="eastAsia" w:cs="宋体"/>
                <w:color w:val="auto"/>
                <w:kern w:val="0"/>
                <w:sz w:val="24"/>
                <w:highlight w:val="none"/>
              </w:rPr>
              <w:t>地址：洪湖市茅江大道</w:t>
            </w:r>
            <w:r>
              <w:rPr>
                <w:rFonts w:hint="eastAsia" w:cs="宋体"/>
                <w:color w:val="auto"/>
                <w:kern w:val="0"/>
                <w:sz w:val="24"/>
                <w:highlight w:val="none"/>
                <w:lang w:val="en-US" w:eastAsia="zh-CN"/>
              </w:rPr>
              <w:t>兴业小区103号门面</w:t>
            </w:r>
            <w:r>
              <w:rPr>
                <w:color w:val="auto"/>
                <w:kern w:val="0"/>
                <w:sz w:val="24"/>
                <w:highlight w:val="none"/>
              </w:rPr>
              <w:fldChar w:fldCharType="begin"/>
            </w:r>
            <w:r>
              <w:rPr>
                <w:color w:val="auto"/>
                <w:kern w:val="0"/>
                <w:sz w:val="24"/>
                <w:highlight w:val="none"/>
              </w:rPr>
              <w:instrText xml:space="preserve">&lt;MK&gt;pro.mobile&lt;/MK&gt;</w:instrText>
            </w:r>
            <w:r>
              <w:rPr>
                <w:color w:val="auto"/>
                <w:kern w:val="0"/>
                <w:sz w:val="24"/>
                <w:highlight w:val="none"/>
              </w:rPr>
              <w:fldChar w:fldCharType="end"/>
            </w:r>
          </w:p>
        </w:tc>
      </w:tr>
      <w:tr w14:paraId="2379D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816" w:type="dxa"/>
            <w:noWrap w:val="0"/>
            <w:vAlign w:val="center"/>
          </w:tcPr>
          <w:p w14:paraId="0BED3E3D">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7</w:t>
            </w:r>
          </w:p>
        </w:tc>
        <w:tc>
          <w:tcPr>
            <w:tcW w:w="1277" w:type="dxa"/>
            <w:noWrap w:val="0"/>
            <w:vAlign w:val="center"/>
          </w:tcPr>
          <w:p w14:paraId="56000A99">
            <w:pPr>
              <w:pageBreakBefore w:val="0"/>
              <w:kinsoku/>
              <w:overflowPunct/>
              <w:topLinePunct w:val="0"/>
              <w:bidi w:val="0"/>
              <w:spacing w:line="360" w:lineRule="auto"/>
              <w:rPr>
                <w:rFonts w:cs="宋体"/>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文件的获取</w:t>
            </w:r>
          </w:p>
        </w:tc>
        <w:tc>
          <w:tcPr>
            <w:tcW w:w="6429" w:type="dxa"/>
            <w:noWrap w:val="0"/>
            <w:vAlign w:val="center"/>
          </w:tcPr>
          <w:p w14:paraId="4A38B87C">
            <w:pPr>
              <w:pageBreakBefore w:val="0"/>
              <w:kinsoku/>
              <w:overflowPunct/>
              <w:topLinePunct w:val="0"/>
              <w:bidi w:val="0"/>
              <w:spacing w:line="360" w:lineRule="auto"/>
              <w:ind w:left="600" w:hanging="600" w:hangingChars="250"/>
              <w:rPr>
                <w:rFonts w:hint="default" w:cs="宋体"/>
                <w:color w:val="auto"/>
                <w:kern w:val="0"/>
                <w:sz w:val="24"/>
                <w:highlight w:val="none"/>
                <w:lang w:val="en-US"/>
              </w:rPr>
            </w:pPr>
            <w:r>
              <w:rPr>
                <w:rFonts w:hint="eastAsia" w:cs="宋体"/>
                <w:color w:val="auto"/>
                <w:kern w:val="0"/>
                <w:sz w:val="24"/>
                <w:highlight w:val="none"/>
              </w:rPr>
              <w:t>时间：</w:t>
            </w:r>
            <w:r>
              <w:rPr>
                <w:rFonts w:hint="eastAsia" w:asciiTheme="minorEastAsia" w:hAnsiTheme="minorEastAsia" w:eastAsiaTheme="minorEastAsia" w:cstheme="minorEastAsia"/>
                <w:i w:val="0"/>
                <w:caps w:val="0"/>
                <w:color w:val="auto"/>
                <w:spacing w:val="0"/>
                <w:sz w:val="24"/>
                <w:szCs w:val="24"/>
                <w:highlight w:val="none"/>
                <w:shd w:val="clear" w:fill="FFFFFF"/>
              </w:rPr>
              <w:t>202</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4</w:t>
            </w:r>
            <w:r>
              <w:rPr>
                <w:rFonts w:hint="eastAsia" w:asciiTheme="minorEastAsia" w:hAnsiTheme="minorEastAsia" w:eastAsiaTheme="minorEastAsia" w:cstheme="minorEastAsia"/>
                <w:i w:val="0"/>
                <w:caps w:val="0"/>
                <w:color w:val="auto"/>
                <w:spacing w:val="0"/>
                <w:sz w:val="24"/>
                <w:szCs w:val="24"/>
                <w:highlight w:val="none"/>
                <w:shd w:val="clear" w:fill="FFFFFF"/>
              </w:rPr>
              <w:t>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19</w:t>
            </w:r>
            <w:r>
              <w:rPr>
                <w:rFonts w:hint="eastAsia" w:asciiTheme="minorEastAsia" w:hAnsiTheme="minorEastAsia" w:eastAsiaTheme="minorEastAsia" w:cstheme="minorEastAsia"/>
                <w:i w:val="0"/>
                <w:caps w:val="0"/>
                <w:color w:val="auto"/>
                <w:spacing w:val="0"/>
                <w:sz w:val="24"/>
                <w:szCs w:val="24"/>
                <w:highlight w:val="none"/>
                <w:shd w:val="clear" w:fill="FFFFFF"/>
              </w:rPr>
              <w:t>日起至</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w:t>
            </w:r>
            <w:r>
              <w:rPr>
                <w:rFonts w:hint="eastAsia" w:asciiTheme="minorEastAsia" w:hAnsiTheme="minorEastAsia" w:eastAsiaTheme="minorEastAsia" w:cstheme="minorEastAsia"/>
                <w:i w:val="0"/>
                <w:caps w:val="0"/>
                <w:color w:val="auto"/>
                <w:spacing w:val="0"/>
                <w:sz w:val="24"/>
                <w:szCs w:val="24"/>
                <w:highlight w:val="none"/>
                <w:shd w:val="clear" w:fill="FFFFFF"/>
              </w:rPr>
              <w:t>月</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25</w:t>
            </w:r>
            <w:r>
              <w:rPr>
                <w:rFonts w:hint="eastAsia" w:asciiTheme="minorEastAsia" w:hAnsiTheme="minorEastAsia" w:eastAsiaTheme="minorEastAsia" w:cstheme="minorEastAsia"/>
                <w:i w:val="0"/>
                <w:caps w:val="0"/>
                <w:color w:val="auto"/>
                <w:spacing w:val="0"/>
                <w:sz w:val="24"/>
                <w:szCs w:val="24"/>
                <w:highlight w:val="none"/>
                <w:shd w:val="clear" w:fill="FFFFFF"/>
              </w:rPr>
              <w:t>日</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，每天上午8:30至12:00，下午14:30至17:30（北京时间，法定节假日除外）</w:t>
            </w:r>
          </w:p>
        </w:tc>
      </w:tr>
      <w:tr w14:paraId="0A73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816" w:type="dxa"/>
            <w:noWrap w:val="0"/>
            <w:vAlign w:val="center"/>
          </w:tcPr>
          <w:p w14:paraId="064B2BF0">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8</w:t>
            </w:r>
          </w:p>
        </w:tc>
        <w:tc>
          <w:tcPr>
            <w:tcW w:w="1277" w:type="dxa"/>
            <w:noWrap w:val="0"/>
            <w:vAlign w:val="center"/>
          </w:tcPr>
          <w:p w14:paraId="7852FDD5">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供应商资格条件</w:t>
            </w:r>
          </w:p>
        </w:tc>
        <w:tc>
          <w:tcPr>
            <w:tcW w:w="6429" w:type="dxa"/>
            <w:noWrap w:val="0"/>
            <w:vAlign w:val="center"/>
          </w:tcPr>
          <w:p w14:paraId="2D786BBC">
            <w:pPr>
              <w:pageBreakBefore w:val="0"/>
              <w:kinsoku/>
              <w:overflowPunct/>
              <w:topLinePunct w:val="0"/>
              <w:bidi w:val="0"/>
              <w:spacing w:line="360" w:lineRule="auto"/>
              <w:rPr>
                <w:color w:val="auto"/>
                <w:highlight w:val="none"/>
              </w:rPr>
            </w:pPr>
            <w:r>
              <w:rPr>
                <w:rFonts w:hint="eastAsia" w:cs="宋体"/>
                <w:color w:val="auto"/>
                <w:kern w:val="0"/>
                <w:sz w:val="24"/>
                <w:highlight w:val="none"/>
              </w:rPr>
              <w:t>详见</w:t>
            </w:r>
            <w:r>
              <w:rPr>
                <w:rFonts w:hint="eastAsia" w:cs="宋体"/>
                <w:color w:val="auto"/>
                <w:kern w:val="0"/>
                <w:sz w:val="24"/>
                <w:highlight w:val="none"/>
                <w:lang w:eastAsia="zh-CN"/>
              </w:rPr>
              <w:t>磋商公告</w:t>
            </w:r>
          </w:p>
        </w:tc>
      </w:tr>
      <w:tr w14:paraId="4959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67C55DC">
            <w:pPr>
              <w:pageBreakBefore w:val="0"/>
              <w:kinsoku/>
              <w:overflowPunct/>
              <w:topLinePunct w:val="0"/>
              <w:bidi w:val="0"/>
              <w:spacing w:line="360" w:lineRule="auto"/>
              <w:jc w:val="center"/>
              <w:rPr>
                <w:rFonts w:hint="eastAsia" w:eastAsia="宋体"/>
                <w:color w:val="auto"/>
                <w:kern w:val="0"/>
                <w:sz w:val="24"/>
                <w:highlight w:val="none"/>
                <w:lang w:val="en-US" w:eastAsia="zh-CN"/>
              </w:rPr>
            </w:pPr>
            <w:r>
              <w:rPr>
                <w:rFonts w:hint="eastAsia"/>
                <w:color w:val="auto"/>
                <w:kern w:val="0"/>
                <w:sz w:val="24"/>
                <w:highlight w:val="none"/>
                <w:lang w:val="en-US" w:eastAsia="zh-CN"/>
              </w:rPr>
              <w:t>9</w:t>
            </w:r>
          </w:p>
        </w:tc>
        <w:tc>
          <w:tcPr>
            <w:tcW w:w="1277" w:type="dxa"/>
            <w:noWrap w:val="0"/>
            <w:vAlign w:val="center"/>
          </w:tcPr>
          <w:p w14:paraId="7BB272F7">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联合体</w:t>
            </w:r>
          </w:p>
        </w:tc>
        <w:tc>
          <w:tcPr>
            <w:tcW w:w="6429" w:type="dxa"/>
            <w:noWrap w:val="0"/>
            <w:vAlign w:val="center"/>
          </w:tcPr>
          <w:p w14:paraId="1D1B12DC">
            <w:pPr>
              <w:pageBreakBefore w:val="0"/>
              <w:kinsoku/>
              <w:overflowPunct/>
              <w:topLinePunct w:val="0"/>
              <w:bidi w:val="0"/>
              <w:spacing w:line="360" w:lineRule="auto"/>
              <w:rPr>
                <w:rFonts w:cs="宋体"/>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 xml:space="preserve">接受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0024A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0615768">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10</w:t>
            </w:r>
          </w:p>
        </w:tc>
        <w:tc>
          <w:tcPr>
            <w:tcW w:w="1277" w:type="dxa"/>
            <w:noWrap w:val="0"/>
            <w:vAlign w:val="center"/>
          </w:tcPr>
          <w:p w14:paraId="6F2C7F25">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踏勘现场</w:t>
            </w:r>
          </w:p>
        </w:tc>
        <w:tc>
          <w:tcPr>
            <w:tcW w:w="6429" w:type="dxa"/>
            <w:noWrap w:val="0"/>
            <w:vAlign w:val="center"/>
          </w:tcPr>
          <w:p w14:paraId="78EC146C">
            <w:pPr>
              <w:pageBreakBefore w:val="0"/>
              <w:kinsoku/>
              <w:overflowPunct/>
              <w:topLinePunct w:val="0"/>
              <w:bidi w:val="0"/>
              <w:spacing w:line="360" w:lineRule="auto"/>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3A371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EFB4537">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11</w:t>
            </w:r>
          </w:p>
        </w:tc>
        <w:tc>
          <w:tcPr>
            <w:tcW w:w="1277" w:type="dxa"/>
            <w:noWrap w:val="0"/>
            <w:vAlign w:val="center"/>
          </w:tcPr>
          <w:p w14:paraId="0BAA689F">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答疑会</w:t>
            </w:r>
          </w:p>
        </w:tc>
        <w:tc>
          <w:tcPr>
            <w:tcW w:w="6429" w:type="dxa"/>
            <w:noWrap w:val="0"/>
            <w:vAlign w:val="center"/>
          </w:tcPr>
          <w:p w14:paraId="07468DF3">
            <w:pPr>
              <w:pageBreakBefore w:val="0"/>
              <w:kinsoku/>
              <w:overflowPunct/>
              <w:topLinePunct w:val="0"/>
              <w:bidi w:val="0"/>
              <w:spacing w:line="360" w:lineRule="auto"/>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集中组织</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不集中组织</w:t>
            </w:r>
          </w:p>
        </w:tc>
      </w:tr>
      <w:tr w14:paraId="5D24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47444A76">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12</w:t>
            </w:r>
          </w:p>
        </w:tc>
        <w:tc>
          <w:tcPr>
            <w:tcW w:w="1277" w:type="dxa"/>
            <w:noWrap w:val="0"/>
            <w:vAlign w:val="center"/>
          </w:tcPr>
          <w:p w14:paraId="32649240">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分包</w:t>
            </w:r>
          </w:p>
        </w:tc>
        <w:tc>
          <w:tcPr>
            <w:tcW w:w="6429" w:type="dxa"/>
            <w:noWrap w:val="0"/>
            <w:vAlign w:val="center"/>
          </w:tcPr>
          <w:p w14:paraId="5061615C">
            <w:pPr>
              <w:pageBreakBefore w:val="0"/>
              <w:kinsoku/>
              <w:overflowPunct/>
              <w:topLinePunct w:val="0"/>
              <w:bidi w:val="0"/>
              <w:spacing w:line="360" w:lineRule="auto"/>
              <w:rPr>
                <w:color w:val="auto"/>
                <w:kern w:val="0"/>
                <w:sz w:val="24"/>
                <w:highlight w:val="none"/>
              </w:rPr>
            </w:pPr>
            <w:r>
              <w:rPr>
                <w:rFonts w:hint="eastAsia" w:ascii="宋体" w:hAnsi="宋体"/>
                <w:color w:val="auto"/>
                <w:kern w:val="0"/>
                <w:sz w:val="24"/>
                <w:highlight w:val="none"/>
              </w:rPr>
              <w:t>□</w:t>
            </w:r>
            <w:r>
              <w:rPr>
                <w:rFonts w:hint="eastAsia" w:cs="宋体"/>
                <w:color w:val="auto"/>
                <w:kern w:val="0"/>
                <w:sz w:val="24"/>
                <w:highlight w:val="none"/>
              </w:rPr>
              <w:t>允许</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不允许</w:t>
            </w:r>
          </w:p>
        </w:tc>
      </w:tr>
      <w:tr w14:paraId="2EA82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396B8B27">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13</w:t>
            </w:r>
          </w:p>
        </w:tc>
        <w:tc>
          <w:tcPr>
            <w:tcW w:w="1277" w:type="dxa"/>
            <w:noWrap w:val="0"/>
            <w:vAlign w:val="center"/>
          </w:tcPr>
          <w:p w14:paraId="2F9D5090">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备选方案</w:t>
            </w:r>
          </w:p>
        </w:tc>
        <w:tc>
          <w:tcPr>
            <w:tcW w:w="6429" w:type="dxa"/>
            <w:noWrap w:val="0"/>
            <w:vAlign w:val="center"/>
          </w:tcPr>
          <w:p w14:paraId="13BB7523">
            <w:pPr>
              <w:pageBreakBefore w:val="0"/>
              <w:kinsoku/>
              <w:overflowPunct/>
              <w:topLinePunct w:val="0"/>
              <w:bidi w:val="0"/>
              <w:spacing w:line="360" w:lineRule="auto"/>
              <w:rPr>
                <w:color w:val="auto"/>
                <w:kern w:val="0"/>
                <w:sz w:val="24"/>
                <w:highlight w:val="none"/>
              </w:rPr>
            </w:pPr>
            <w:r>
              <w:rPr>
                <w:rFonts w:hint="eastAsia" w:ascii="宋体" w:hAnsi="宋体"/>
                <w:color w:val="auto"/>
                <w:kern w:val="0"/>
                <w:sz w:val="24"/>
                <w:highlight w:val="none"/>
                <w:lang w:eastAsia="zh-CN"/>
              </w:rPr>
              <w:t>□</w:t>
            </w:r>
            <w:r>
              <w:rPr>
                <w:rFonts w:hint="eastAsia" w:cs="宋体"/>
                <w:color w:val="auto"/>
                <w:kern w:val="0"/>
                <w:sz w:val="24"/>
                <w:highlight w:val="none"/>
              </w:rPr>
              <w:t>接受</w:t>
            </w:r>
            <w:r>
              <w:rPr>
                <w:rFonts w:hint="eastAsia"/>
                <w:color w:val="auto"/>
                <w:kern w:val="0"/>
                <w:sz w:val="24"/>
                <w:highlight w:val="none"/>
              </w:rPr>
              <w:t xml:space="preserve">                </w:t>
            </w:r>
            <w:r>
              <w:rPr>
                <w:rFonts w:hint="eastAsia" w:ascii="宋体" w:hAnsi="宋体"/>
                <w:color w:val="auto"/>
                <w:kern w:val="0"/>
                <w:sz w:val="24"/>
                <w:highlight w:val="none"/>
                <w:lang w:eastAsia="zh-CN"/>
              </w:rPr>
              <w:t>☑</w:t>
            </w:r>
            <w:r>
              <w:rPr>
                <w:rFonts w:hint="eastAsia" w:cs="宋体"/>
                <w:color w:val="auto"/>
                <w:kern w:val="0"/>
                <w:sz w:val="24"/>
                <w:highlight w:val="none"/>
              </w:rPr>
              <w:t>不接受</w:t>
            </w:r>
          </w:p>
        </w:tc>
      </w:tr>
      <w:tr w14:paraId="7657A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6F6C9B12">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14</w:t>
            </w:r>
          </w:p>
        </w:tc>
        <w:tc>
          <w:tcPr>
            <w:tcW w:w="1277" w:type="dxa"/>
            <w:noWrap w:val="0"/>
            <w:vAlign w:val="center"/>
          </w:tcPr>
          <w:p w14:paraId="7C671BF0">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响应文件有效期</w:t>
            </w:r>
          </w:p>
        </w:tc>
        <w:tc>
          <w:tcPr>
            <w:tcW w:w="6429" w:type="dxa"/>
            <w:noWrap w:val="0"/>
            <w:vAlign w:val="center"/>
          </w:tcPr>
          <w:p w14:paraId="115D2094">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递交响应文件之日算起</w:t>
            </w:r>
            <w:r>
              <w:rPr>
                <w:rFonts w:hint="eastAsia"/>
                <w:color w:val="auto"/>
                <w:kern w:val="0"/>
                <w:sz w:val="24"/>
                <w:highlight w:val="none"/>
                <w:u w:val="single"/>
                <w:lang w:val="en-US" w:eastAsia="zh-CN"/>
              </w:rPr>
              <w:t>9</w:t>
            </w:r>
            <w:r>
              <w:rPr>
                <w:rFonts w:hint="eastAsia"/>
                <w:color w:val="auto"/>
                <w:kern w:val="0"/>
                <w:sz w:val="24"/>
                <w:highlight w:val="none"/>
                <w:u w:val="single"/>
              </w:rPr>
              <w:t>0</w:t>
            </w:r>
            <w:r>
              <w:rPr>
                <w:color w:val="auto"/>
                <w:kern w:val="0"/>
                <w:sz w:val="24"/>
                <w:highlight w:val="none"/>
                <w:u w:val="single"/>
              </w:rPr>
              <w:t xml:space="preserve"> </w:t>
            </w:r>
            <w:r>
              <w:rPr>
                <w:rFonts w:hint="eastAsia" w:cs="宋体"/>
                <w:color w:val="auto"/>
                <w:kern w:val="0"/>
                <w:sz w:val="24"/>
                <w:highlight w:val="none"/>
              </w:rPr>
              <w:t>日历日内保持有效。</w:t>
            </w:r>
          </w:p>
        </w:tc>
      </w:tr>
      <w:tr w14:paraId="2F2C2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7E8C57F8">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15</w:t>
            </w:r>
          </w:p>
        </w:tc>
        <w:tc>
          <w:tcPr>
            <w:tcW w:w="1277" w:type="dxa"/>
            <w:noWrap w:val="0"/>
            <w:vAlign w:val="center"/>
          </w:tcPr>
          <w:p w14:paraId="6AA02146">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报价方式</w:t>
            </w:r>
          </w:p>
        </w:tc>
        <w:tc>
          <w:tcPr>
            <w:tcW w:w="6429" w:type="dxa"/>
            <w:noWrap w:val="0"/>
            <w:vAlign w:val="center"/>
          </w:tcPr>
          <w:p w14:paraId="1EC4BF77">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按综合报价方式，即交钥匙工程。最后报价超过采购预算的，其响应文件无效。</w:t>
            </w:r>
          </w:p>
        </w:tc>
      </w:tr>
      <w:tr w14:paraId="163E9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2C261A49">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16</w:t>
            </w:r>
          </w:p>
        </w:tc>
        <w:tc>
          <w:tcPr>
            <w:tcW w:w="1277" w:type="dxa"/>
            <w:noWrap w:val="0"/>
            <w:vAlign w:val="center"/>
          </w:tcPr>
          <w:p w14:paraId="7E786D11">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eastAsia="zh-CN"/>
              </w:rPr>
              <w:t>磋商</w:t>
            </w:r>
            <w:r>
              <w:rPr>
                <w:rFonts w:hint="eastAsia" w:ascii="Times New Roman" w:hAnsi="Times New Roman" w:cs="宋体"/>
                <w:color w:val="auto"/>
                <w:sz w:val="24"/>
                <w:szCs w:val="24"/>
                <w:highlight w:val="none"/>
                <w:lang w:val="en-US"/>
              </w:rPr>
              <w:t>小组组成</w:t>
            </w:r>
          </w:p>
        </w:tc>
        <w:tc>
          <w:tcPr>
            <w:tcW w:w="6429" w:type="dxa"/>
            <w:noWrap w:val="0"/>
            <w:vAlign w:val="center"/>
          </w:tcPr>
          <w:p w14:paraId="35FBF98E">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由</w:t>
            </w:r>
            <w:r>
              <w:rPr>
                <w:rFonts w:hint="eastAsia" w:ascii="Times New Roman" w:hAnsi="Times New Roman" w:cs="Times New Roman"/>
                <w:color w:val="auto"/>
                <w:sz w:val="24"/>
                <w:szCs w:val="24"/>
                <w:highlight w:val="none"/>
                <w:u w:val="single"/>
                <w:lang w:val="en-US" w:eastAsia="zh-CN"/>
              </w:rPr>
              <w:t>3</w:t>
            </w:r>
            <w:r>
              <w:rPr>
                <w:rFonts w:hint="eastAsia" w:ascii="Times New Roman" w:hAnsi="Times New Roman" w:cs="宋体"/>
                <w:color w:val="auto"/>
                <w:sz w:val="24"/>
                <w:szCs w:val="24"/>
                <w:highlight w:val="none"/>
                <w:lang w:val="en-US"/>
              </w:rPr>
              <w:t>名评审专家组成，评审专家从专家库中随机抽取。</w:t>
            </w:r>
          </w:p>
        </w:tc>
      </w:tr>
      <w:tr w14:paraId="68436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16" w:type="dxa"/>
            <w:noWrap w:val="0"/>
            <w:vAlign w:val="center"/>
          </w:tcPr>
          <w:p w14:paraId="5714CCD9">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17</w:t>
            </w:r>
          </w:p>
        </w:tc>
        <w:tc>
          <w:tcPr>
            <w:tcW w:w="1277" w:type="dxa"/>
            <w:noWrap w:val="0"/>
            <w:vAlign w:val="center"/>
          </w:tcPr>
          <w:p w14:paraId="0BBCA3FD">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rPr>
              <w:t>确定供应商</w:t>
            </w:r>
          </w:p>
        </w:tc>
        <w:tc>
          <w:tcPr>
            <w:tcW w:w="6429" w:type="dxa"/>
            <w:noWrap w:val="0"/>
            <w:vAlign w:val="center"/>
          </w:tcPr>
          <w:p w14:paraId="1F161838">
            <w:pPr>
              <w:pageBreakBefore w:val="0"/>
              <w:kinsoku/>
              <w:overflowPunct/>
              <w:topLinePunct w:val="0"/>
              <w:bidi w:val="0"/>
              <w:spacing w:line="360" w:lineRule="auto"/>
              <w:rPr>
                <w:color w:val="auto"/>
                <w:kern w:val="0"/>
                <w:sz w:val="24"/>
                <w:highlight w:val="none"/>
              </w:rPr>
            </w:pPr>
            <w:r>
              <w:rPr>
                <w:rFonts w:hint="eastAsia" w:cs="宋体"/>
                <w:color w:val="auto"/>
                <w:kern w:val="0"/>
                <w:sz w:val="24"/>
                <w:highlight w:val="none"/>
                <w:lang w:eastAsia="zh-CN"/>
              </w:rPr>
              <w:t>磋商</w:t>
            </w:r>
            <w:r>
              <w:rPr>
                <w:rFonts w:hint="eastAsia" w:cs="宋体"/>
                <w:color w:val="auto"/>
                <w:kern w:val="0"/>
                <w:sz w:val="24"/>
                <w:highlight w:val="none"/>
              </w:rPr>
              <w:t>小组从有意愿参加本次采购活动，且符合相关资格条件的供应商中确定（或由采取采购人和评审专家书面推荐）不少于三家参加谈判。</w:t>
            </w:r>
          </w:p>
        </w:tc>
      </w:tr>
      <w:tr w14:paraId="70947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027066DD">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18</w:t>
            </w:r>
          </w:p>
        </w:tc>
        <w:tc>
          <w:tcPr>
            <w:tcW w:w="1277" w:type="dxa"/>
            <w:noWrap w:val="0"/>
            <w:vAlign w:val="center"/>
          </w:tcPr>
          <w:p w14:paraId="0C49C9C5">
            <w:pPr>
              <w:pStyle w:val="143"/>
              <w:pageBreakBefore w:val="0"/>
              <w:kinsoku/>
              <w:overflowPunct/>
              <w:topLinePunct w:val="0"/>
              <w:bidi w:val="0"/>
              <w:spacing w:line="360" w:lineRule="auto"/>
              <w:ind w:left="8"/>
              <w:jc w:val="both"/>
              <w:rPr>
                <w:rFonts w:ascii="Times New Roman" w:hAnsi="Times New Roman" w:cs="Times New Roman"/>
                <w:color w:val="auto"/>
                <w:sz w:val="24"/>
                <w:szCs w:val="24"/>
                <w:highlight w:val="none"/>
                <w:lang w:val="en-US"/>
              </w:rPr>
            </w:pPr>
            <w:r>
              <w:rPr>
                <w:rFonts w:hint="eastAsia" w:ascii="Times New Roman" w:hAnsi="Times New Roman" w:cs="宋体"/>
                <w:color w:val="auto"/>
                <w:sz w:val="24"/>
                <w:szCs w:val="24"/>
                <w:highlight w:val="none"/>
                <w:lang w:val="en-US"/>
              </w:rPr>
              <w:t>评审办法</w:t>
            </w:r>
          </w:p>
        </w:tc>
        <w:tc>
          <w:tcPr>
            <w:tcW w:w="6429" w:type="dxa"/>
            <w:noWrap w:val="0"/>
            <w:vAlign w:val="center"/>
          </w:tcPr>
          <w:p w14:paraId="7D0BC641">
            <w:pPr>
              <w:pStyle w:val="143"/>
              <w:pageBreakBefore w:val="0"/>
              <w:kinsoku/>
              <w:overflowPunct/>
              <w:topLinePunct w:val="0"/>
              <w:bidi w:val="0"/>
              <w:spacing w:line="360" w:lineRule="auto"/>
              <w:jc w:val="both"/>
              <w:rPr>
                <w:rFonts w:ascii="Times New Roman" w:hAnsi="Times New Roman" w:cs="Times New Roman"/>
                <w:color w:val="auto"/>
                <w:sz w:val="24"/>
                <w:highlight w:val="none"/>
                <w:lang w:val="en-US"/>
              </w:rPr>
            </w:pPr>
            <w:r>
              <w:rPr>
                <w:rFonts w:ascii="Times New Roman" w:hAnsi="Times New Roman" w:cs="Times New Roman"/>
                <w:color w:val="auto"/>
                <w:sz w:val="24"/>
                <w:highlight w:val="none"/>
                <w:lang w:val="en-US"/>
              </w:rPr>
              <w:t>（1）采用综合评分法。即满分100分，其中商务评议占</w:t>
            </w:r>
            <w:r>
              <w:rPr>
                <w:rFonts w:hint="eastAsia" w:ascii="Times New Roman" w:hAnsi="Times New Roman" w:cs="Times New Roman"/>
                <w:color w:val="auto"/>
                <w:sz w:val="24"/>
                <w:highlight w:val="none"/>
                <w:lang w:val="en-US" w:eastAsia="zh-CN"/>
              </w:rPr>
              <w:t>26</w:t>
            </w:r>
            <w:r>
              <w:rPr>
                <w:rFonts w:ascii="Times New Roman" w:hAnsi="Times New Roman" w:cs="Times New Roman"/>
                <w:color w:val="auto"/>
                <w:sz w:val="24"/>
                <w:highlight w:val="none"/>
                <w:lang w:val="en-US"/>
              </w:rPr>
              <w:t>％，技术服务评议占</w:t>
            </w:r>
            <w:r>
              <w:rPr>
                <w:rFonts w:hint="eastAsia" w:ascii="Times New Roman" w:hAnsi="Times New Roman" w:cs="Times New Roman"/>
                <w:color w:val="auto"/>
                <w:sz w:val="24"/>
                <w:highlight w:val="none"/>
                <w:lang w:val="en-US" w:eastAsia="zh-CN"/>
              </w:rPr>
              <w:t>64</w:t>
            </w:r>
            <w:r>
              <w:rPr>
                <w:rFonts w:ascii="Times New Roman" w:hAnsi="Times New Roman" w:cs="Times New Roman"/>
                <w:color w:val="auto"/>
                <w:sz w:val="24"/>
                <w:highlight w:val="none"/>
                <w:lang w:val="en-US"/>
              </w:rPr>
              <w:t>％，价格评议占</w:t>
            </w:r>
            <w:r>
              <w:rPr>
                <w:rFonts w:hint="eastAsia" w:ascii="Times New Roman" w:hAnsi="Times New Roman" w:cs="Times New Roman"/>
                <w:color w:val="auto"/>
                <w:sz w:val="24"/>
                <w:highlight w:val="none"/>
                <w:lang w:val="en-US" w:eastAsia="zh-CN"/>
              </w:rPr>
              <w:t>10</w:t>
            </w:r>
            <w:r>
              <w:rPr>
                <w:rFonts w:ascii="Times New Roman" w:hAnsi="Times New Roman" w:cs="Times New Roman"/>
                <w:color w:val="auto"/>
                <w:sz w:val="24"/>
                <w:highlight w:val="none"/>
                <w:lang w:val="en-US"/>
              </w:rPr>
              <w:t>%。</w:t>
            </w:r>
          </w:p>
          <w:p w14:paraId="7071D8D7">
            <w:pPr>
              <w:pStyle w:val="143"/>
              <w:pageBreakBefore w:val="0"/>
              <w:kinsoku/>
              <w:overflowPunct/>
              <w:topLinePunct w:val="0"/>
              <w:bidi w:val="0"/>
              <w:spacing w:line="360" w:lineRule="auto"/>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highlight w:val="none"/>
                <w:lang w:val="en-US"/>
              </w:rPr>
              <w:t>（2）磋商</w:t>
            </w:r>
            <w:r>
              <w:rPr>
                <w:rFonts w:ascii="Times New Roman" w:hAnsi="Times New Roman" w:cs="Times New Roman"/>
                <w:color w:val="auto"/>
                <w:sz w:val="24"/>
                <w:highlight w:val="none"/>
              </w:rPr>
              <w:t>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r>
              <w:rPr>
                <w:rFonts w:hint="eastAsia" w:ascii="Times New Roman" w:hAnsi="Times New Roman" w:cs="Times New Roman"/>
                <w:color w:val="auto"/>
                <w:sz w:val="24"/>
                <w:highlight w:val="none"/>
                <w:lang w:eastAsia="zh-CN"/>
              </w:rPr>
              <w:t>。</w:t>
            </w:r>
          </w:p>
        </w:tc>
      </w:tr>
      <w:tr w14:paraId="5C53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trPr>
        <w:tc>
          <w:tcPr>
            <w:tcW w:w="816" w:type="dxa"/>
            <w:noWrap w:val="0"/>
            <w:vAlign w:val="center"/>
          </w:tcPr>
          <w:p w14:paraId="46C3920A">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19</w:t>
            </w:r>
          </w:p>
        </w:tc>
        <w:tc>
          <w:tcPr>
            <w:tcW w:w="1277" w:type="dxa"/>
            <w:noWrap w:val="0"/>
            <w:vAlign w:val="center"/>
          </w:tcPr>
          <w:p w14:paraId="21C93B20">
            <w:pPr>
              <w:pStyle w:val="143"/>
              <w:pageBreakBefore w:val="0"/>
              <w:kinsoku/>
              <w:overflowPunct/>
              <w:topLinePunct w:val="0"/>
              <w:bidi w:val="0"/>
              <w:spacing w:line="360" w:lineRule="auto"/>
              <w:jc w:val="both"/>
              <w:rPr>
                <w:rFonts w:ascii="Times New Roman" w:hAnsi="Times New Roman" w:cs="Times New Roman"/>
                <w:color w:val="auto"/>
                <w:highlight w:val="none"/>
                <w:lang w:val="en-US"/>
              </w:rPr>
            </w:pPr>
            <w:r>
              <w:rPr>
                <w:rFonts w:ascii="Times New Roman" w:hAnsi="Times New Roman" w:cs="Times New Roman"/>
                <w:color w:val="auto"/>
                <w:sz w:val="24"/>
                <w:szCs w:val="24"/>
                <w:highlight w:val="none"/>
                <w:lang w:val="en-US"/>
              </w:rPr>
              <w:t>时间和地点</w:t>
            </w:r>
          </w:p>
        </w:tc>
        <w:tc>
          <w:tcPr>
            <w:tcW w:w="6429" w:type="dxa"/>
            <w:noWrap w:val="0"/>
            <w:vAlign w:val="center"/>
          </w:tcPr>
          <w:p w14:paraId="240BBBAA">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（1）时间：</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2024年12月30日9时30分</w:t>
            </w:r>
            <w:r>
              <w:rPr>
                <w:rFonts w:hint="eastAsia" w:asciiTheme="minorEastAsia" w:hAnsiTheme="minorEastAsia" w:eastAsiaTheme="minorEastAsia" w:cstheme="minorEastAsia"/>
                <w:i w:val="0"/>
                <w:caps w:val="0"/>
                <w:color w:val="auto"/>
                <w:spacing w:val="0"/>
                <w:sz w:val="24"/>
                <w:szCs w:val="24"/>
                <w:highlight w:val="none"/>
                <w:shd w:val="clear" w:fill="FFFFFF"/>
              </w:rPr>
              <w:t>（北京时间）</w:t>
            </w:r>
          </w:p>
          <w:p w14:paraId="3AB809A3">
            <w:pPr>
              <w:pStyle w:val="143"/>
              <w:pageBreakBefore w:val="0"/>
              <w:kinsoku/>
              <w:overflowPunct/>
              <w:topLinePunct w:val="0"/>
              <w:bidi w:val="0"/>
              <w:spacing w:before="7" w:line="360" w:lineRule="auto"/>
              <w:ind w:left="480" w:right="96" w:hanging="480" w:hangingChars="200"/>
              <w:jc w:val="both"/>
              <w:rPr>
                <w:rFonts w:hint="eastAsia" w:ascii="Times New Roman" w:hAnsi="Times New Roman" w:eastAsia="宋体" w:cs="Times New Roman"/>
                <w:color w:val="auto"/>
                <w:sz w:val="24"/>
                <w:szCs w:val="24"/>
                <w:highlight w:val="none"/>
                <w:lang w:val="en-US" w:eastAsia="zh-CN"/>
              </w:rPr>
            </w:pPr>
            <w:r>
              <w:rPr>
                <w:rFonts w:ascii="Times New Roman" w:hAnsi="Times New Roman" w:cs="Times New Roman"/>
                <w:color w:val="auto"/>
                <w:sz w:val="24"/>
                <w:szCs w:val="24"/>
                <w:highlight w:val="none"/>
                <w:lang w:val="en-US"/>
              </w:rPr>
              <w:t>（2）地点：</w:t>
            </w:r>
            <w:r>
              <w:rPr>
                <w:rFonts w:hint="eastAsia" w:ascii="Times New Roman" w:hAnsi="Times New Roman" w:cs="Times New Roman"/>
                <w:color w:val="auto"/>
                <w:sz w:val="24"/>
                <w:szCs w:val="24"/>
                <w:highlight w:val="none"/>
                <w:lang w:val="en-US"/>
              </w:rPr>
              <w:t>洪湖市新堤茅江大道兴业小区103号门面洪湖市建坤工程咨询有限公司评标室</w:t>
            </w:r>
          </w:p>
        </w:tc>
      </w:tr>
      <w:tr w14:paraId="1E72B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7F8D573">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20</w:t>
            </w:r>
          </w:p>
        </w:tc>
        <w:tc>
          <w:tcPr>
            <w:tcW w:w="1277" w:type="dxa"/>
            <w:noWrap w:val="0"/>
            <w:vAlign w:val="center"/>
          </w:tcPr>
          <w:p w14:paraId="66CBE782">
            <w:pPr>
              <w:pStyle w:val="143"/>
              <w:pageBreakBefore w:val="0"/>
              <w:kinsoku/>
              <w:overflowPunct/>
              <w:topLinePunct w:val="0"/>
              <w:bidi w:val="0"/>
              <w:spacing w:line="360" w:lineRule="auto"/>
              <w:jc w:val="both"/>
              <w:rPr>
                <w:rFonts w:ascii="Times New Roman" w:hAnsi="Times New Roman" w:cs="Times New Roman"/>
                <w:color w:val="auto"/>
                <w:sz w:val="24"/>
                <w:szCs w:val="24"/>
                <w:highlight w:val="none"/>
                <w:lang w:val="en-US"/>
              </w:rPr>
            </w:pPr>
            <w:r>
              <w:rPr>
                <w:rFonts w:hint="eastAsia"/>
                <w:bCs/>
                <w:color w:val="auto"/>
                <w:sz w:val="24"/>
                <w:highlight w:val="none"/>
              </w:rPr>
              <w:t>落实政府采购政策</w:t>
            </w:r>
          </w:p>
        </w:tc>
        <w:tc>
          <w:tcPr>
            <w:tcW w:w="6429" w:type="dxa"/>
            <w:noWrap w:val="0"/>
            <w:vAlign w:val="center"/>
          </w:tcPr>
          <w:p w14:paraId="4AC05764">
            <w:pPr>
              <w:pageBreakBefore w:val="0"/>
              <w:kinsoku/>
              <w:overflowPunct/>
              <w:topLinePunct w:val="0"/>
              <w:bidi w:val="0"/>
              <w:spacing w:line="360" w:lineRule="auto"/>
              <w:ind w:left="480" w:hanging="480" w:hangingChars="200"/>
              <w:rPr>
                <w:rFonts w:eastAsia="宋体"/>
                <w:color w:val="auto"/>
                <w:kern w:val="0"/>
                <w:sz w:val="24"/>
                <w:highlight w:val="none"/>
              </w:rPr>
            </w:pPr>
            <w:r>
              <w:rPr>
                <w:rFonts w:eastAsia="宋体"/>
                <w:color w:val="auto"/>
                <w:kern w:val="0"/>
                <w:sz w:val="24"/>
                <w:highlight w:val="none"/>
              </w:rPr>
              <w:t>（1）是否专门面向中小企业、监狱企业、残疾人福利性单位：</w:t>
            </w:r>
            <w:r>
              <w:rPr>
                <w:rFonts w:hint="eastAsia"/>
                <w:color w:val="auto"/>
                <w:kern w:val="0"/>
                <w:sz w:val="24"/>
                <w:highlight w:val="none"/>
                <w:lang w:val="en-US" w:eastAsia="zh-CN"/>
              </w:rPr>
              <w:t>是</w:t>
            </w:r>
            <w:r>
              <w:rPr>
                <w:rFonts w:eastAsia="宋体"/>
                <w:color w:val="auto"/>
                <w:kern w:val="0"/>
                <w:sz w:val="24"/>
                <w:highlight w:val="none"/>
              </w:rPr>
              <w:t>。</w:t>
            </w:r>
          </w:p>
          <w:p w14:paraId="5160CCB3">
            <w:pPr>
              <w:pageBreakBefore w:val="0"/>
              <w:kinsoku/>
              <w:overflowPunct/>
              <w:topLinePunct w:val="0"/>
              <w:bidi w:val="0"/>
              <w:spacing w:line="360" w:lineRule="auto"/>
              <w:ind w:left="480" w:hanging="480" w:hangingChars="200"/>
              <w:rPr>
                <w:rFonts w:eastAsia="宋体"/>
                <w:color w:val="auto"/>
                <w:kern w:val="0"/>
                <w:sz w:val="24"/>
                <w:highlight w:val="none"/>
              </w:rPr>
            </w:pPr>
            <w:r>
              <w:rPr>
                <w:rFonts w:hint="eastAsia" w:eastAsia="宋体"/>
                <w:color w:val="auto"/>
                <w:kern w:val="0"/>
                <w:sz w:val="24"/>
                <w:highlight w:val="none"/>
              </w:rPr>
              <w:t>（2）</w:t>
            </w:r>
            <w:r>
              <w:rPr>
                <w:rFonts w:eastAsia="宋体"/>
                <w:color w:val="auto"/>
                <w:kern w:val="0"/>
                <w:sz w:val="24"/>
                <w:highlight w:val="none"/>
              </w:rPr>
              <w:t>所属行业：其他未列明行业。</w:t>
            </w:r>
          </w:p>
          <w:p w14:paraId="3098FD35">
            <w:pPr>
              <w:pStyle w:val="143"/>
              <w:pageBreakBefore w:val="0"/>
              <w:kinsoku/>
              <w:overflowPunct/>
              <w:topLinePunct w:val="0"/>
              <w:bidi w:val="0"/>
              <w:spacing w:line="360" w:lineRule="auto"/>
              <w:ind w:left="278" w:hanging="278" w:hangingChars="116"/>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w:t>
            </w:r>
            <w:r>
              <w:rPr>
                <w:rFonts w:hint="eastAsia" w:ascii="Times New Roman" w:hAnsi="Times New Roman" w:cs="Times New Roman"/>
                <w:color w:val="auto"/>
                <w:sz w:val="24"/>
                <w:szCs w:val="24"/>
                <w:highlight w:val="none"/>
                <w:lang w:val="en-US"/>
              </w:rPr>
              <w:t>3</w:t>
            </w:r>
            <w:r>
              <w:rPr>
                <w:rFonts w:ascii="Times New Roman" w:hAnsi="Times New Roman" w:cs="Times New Roman"/>
                <w:color w:val="auto"/>
                <w:sz w:val="24"/>
                <w:szCs w:val="24"/>
                <w:highlight w:val="none"/>
                <w:lang w:val="en-US"/>
              </w:rPr>
              <w:t>）中小企业划分</w:t>
            </w:r>
            <w:r>
              <w:rPr>
                <w:rFonts w:hint="eastAsia" w:ascii="Times New Roman" w:hAnsi="Times New Roman" w:cs="Times New Roman"/>
                <w:color w:val="auto"/>
                <w:sz w:val="24"/>
                <w:szCs w:val="24"/>
                <w:highlight w:val="none"/>
                <w:lang w:val="en-US"/>
              </w:rPr>
              <w:t>：国务院客户端和工业和信息化部网站上均有小程序链接。</w:t>
            </w:r>
          </w:p>
        </w:tc>
      </w:tr>
      <w:tr w14:paraId="0C63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1798CD72">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21</w:t>
            </w:r>
          </w:p>
        </w:tc>
        <w:tc>
          <w:tcPr>
            <w:tcW w:w="1277" w:type="dxa"/>
            <w:noWrap w:val="0"/>
            <w:vAlign w:val="center"/>
          </w:tcPr>
          <w:p w14:paraId="6A7096E5">
            <w:pPr>
              <w:pStyle w:val="143"/>
              <w:pageBreakBefore w:val="0"/>
              <w:kinsoku/>
              <w:overflowPunct/>
              <w:topLinePunct w:val="0"/>
              <w:bidi w:val="0"/>
              <w:spacing w:line="360" w:lineRule="auto"/>
              <w:jc w:val="both"/>
              <w:rPr>
                <w:bCs/>
                <w:color w:val="auto"/>
                <w:sz w:val="24"/>
                <w:highlight w:val="none"/>
              </w:rPr>
            </w:pPr>
            <w:r>
              <w:rPr>
                <w:rFonts w:hint="eastAsia"/>
                <w:bCs/>
                <w:color w:val="auto"/>
                <w:sz w:val="24"/>
                <w:highlight w:val="none"/>
              </w:rPr>
              <w:t>确定成交供应商</w:t>
            </w:r>
          </w:p>
        </w:tc>
        <w:tc>
          <w:tcPr>
            <w:tcW w:w="6429" w:type="dxa"/>
            <w:noWrap w:val="0"/>
            <w:vAlign w:val="center"/>
          </w:tcPr>
          <w:p w14:paraId="07AC1B83">
            <w:pPr>
              <w:pStyle w:val="143"/>
              <w:pageBreakBefore w:val="0"/>
              <w:kinsoku/>
              <w:overflowPunct/>
              <w:topLinePunct w:val="0"/>
              <w:bidi w:val="0"/>
              <w:spacing w:line="360" w:lineRule="auto"/>
              <w:jc w:val="both"/>
              <w:rPr>
                <w:rFonts w:ascii="Times New Roman" w:hAnsi="Times New Roman" w:cs="Times New Roman"/>
                <w:color w:val="auto"/>
                <w:kern w:val="0"/>
                <w:sz w:val="24"/>
                <w:szCs w:val="24"/>
                <w:highlight w:val="none"/>
                <w:lang w:val="en-US" w:eastAsia="zh-CN" w:bidi="ar-SA"/>
              </w:rPr>
            </w:pPr>
            <w:r>
              <w:rPr>
                <w:rFonts w:ascii="Times New Roman" w:hAnsi="Times New Roman" w:cs="Times New Roman"/>
                <w:bCs/>
                <w:color w:val="auto"/>
                <w:sz w:val="24"/>
                <w:szCs w:val="24"/>
                <w:highlight w:val="none"/>
              </w:rPr>
              <w:t>采购人从磋商小组提出的成交候选供应商中，按照排序由高到低的顺序，确定成交供应商</w:t>
            </w:r>
            <w:r>
              <w:rPr>
                <w:rFonts w:ascii="Times New Roman" w:hAnsi="Times New Roman" w:cs="Times New Roman"/>
                <w:color w:val="auto"/>
                <w:sz w:val="24"/>
                <w:szCs w:val="24"/>
                <w:highlight w:val="none"/>
                <w:lang w:val="en-US"/>
              </w:rPr>
              <w:t>。</w:t>
            </w:r>
          </w:p>
        </w:tc>
      </w:tr>
      <w:tr w14:paraId="3A4C8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6" w:type="dxa"/>
            <w:noWrap w:val="0"/>
            <w:vAlign w:val="center"/>
          </w:tcPr>
          <w:p w14:paraId="5DE8CDE0">
            <w:pPr>
              <w:pageBreakBefore w:val="0"/>
              <w:kinsoku/>
              <w:overflowPunct/>
              <w:topLinePunct w:val="0"/>
              <w:bidi w:val="0"/>
              <w:spacing w:line="360" w:lineRule="auto"/>
              <w:jc w:val="center"/>
              <w:rPr>
                <w:rFonts w:hint="default" w:eastAsia="宋体"/>
                <w:color w:val="auto"/>
                <w:kern w:val="0"/>
                <w:sz w:val="24"/>
                <w:highlight w:val="none"/>
                <w:lang w:val="en-US" w:eastAsia="zh-CN"/>
              </w:rPr>
            </w:pPr>
            <w:r>
              <w:rPr>
                <w:rFonts w:hint="eastAsia"/>
                <w:color w:val="auto"/>
                <w:kern w:val="0"/>
                <w:sz w:val="24"/>
                <w:highlight w:val="none"/>
                <w:lang w:val="en-US" w:eastAsia="zh-CN"/>
              </w:rPr>
              <w:t>22</w:t>
            </w:r>
          </w:p>
        </w:tc>
        <w:tc>
          <w:tcPr>
            <w:tcW w:w="1277" w:type="dxa"/>
            <w:noWrap w:val="0"/>
            <w:vAlign w:val="center"/>
          </w:tcPr>
          <w:p w14:paraId="4FC71B6F">
            <w:pPr>
              <w:pageBreakBefore w:val="0"/>
              <w:kinsoku/>
              <w:wordWrap w:val="0"/>
              <w:overflowPunct/>
              <w:topLinePunct w:val="0"/>
              <w:bidi w:val="0"/>
              <w:spacing w:line="360" w:lineRule="auto"/>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质疑联系方式</w:t>
            </w:r>
          </w:p>
        </w:tc>
        <w:tc>
          <w:tcPr>
            <w:tcW w:w="6429" w:type="dxa"/>
            <w:noWrap w:val="0"/>
            <w:vAlign w:val="center"/>
          </w:tcPr>
          <w:p w14:paraId="5DD7D474">
            <w:pPr>
              <w:pStyle w:val="2"/>
              <w:pageBreakBefore w:val="0"/>
              <w:kinsoku/>
              <w:wordWrap w:val="0"/>
              <w:overflowPunct/>
              <w:topLinePunct w:val="0"/>
              <w:bidi w:val="0"/>
              <w:spacing w:line="360" w:lineRule="auto"/>
              <w:rPr>
                <w:rFonts w:hint="default"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联系人：周丽  电话：13277333179</w:t>
            </w:r>
          </w:p>
          <w:p w14:paraId="5D82B272">
            <w:pPr>
              <w:pStyle w:val="2"/>
              <w:pageBreakBefore w:val="0"/>
              <w:kinsoku/>
              <w:wordWrap w:val="0"/>
              <w:overflowPunct/>
              <w:topLinePunct w:val="0"/>
              <w:bidi w:val="0"/>
              <w:spacing w:line="360" w:lineRule="auto"/>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地址：洪湖市新堤茅江大道兴业小区103号门面洪湖市建坤工程咨询有限公司</w:t>
            </w:r>
          </w:p>
        </w:tc>
      </w:tr>
    </w:tbl>
    <w:p w14:paraId="223804DF">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p>
    <w:p w14:paraId="2BB8C341">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一、总</w:t>
      </w:r>
      <w:r>
        <w:rPr>
          <w:rFonts w:hint="eastAsia" w:ascii="Times New Roman" w:hAnsi="Times New Roman" w:eastAsia="黑体"/>
          <w:bCs/>
          <w:color w:val="auto"/>
          <w:sz w:val="24"/>
          <w:szCs w:val="24"/>
          <w:highlight w:val="none"/>
        </w:rPr>
        <w:t xml:space="preserve">  </w:t>
      </w:r>
      <w:r>
        <w:rPr>
          <w:rFonts w:ascii="Times New Roman" w:hAnsi="Times New Roman" w:eastAsia="黑体"/>
          <w:bCs/>
          <w:color w:val="auto"/>
          <w:sz w:val="24"/>
          <w:szCs w:val="24"/>
          <w:highlight w:val="none"/>
        </w:rPr>
        <w:t>则</w:t>
      </w:r>
    </w:p>
    <w:p w14:paraId="3924B87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适用范围</w:t>
      </w:r>
    </w:p>
    <w:p w14:paraId="1B3DCA5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w:t>
      </w:r>
      <w:r>
        <w:rPr>
          <w:rFonts w:ascii="宋体" w:hAnsi="宋体"/>
          <w:color w:val="auto"/>
          <w:sz w:val="24"/>
          <w:szCs w:val="24"/>
          <w:highlight w:val="none"/>
        </w:rPr>
        <w:t>.</w:t>
      </w:r>
      <w:r>
        <w:rPr>
          <w:rFonts w:ascii="Times New Roman" w:hAnsi="Times New Roman"/>
          <w:bCs/>
          <w:color w:val="auto"/>
          <w:sz w:val="24"/>
          <w:szCs w:val="24"/>
          <w:highlight w:val="none"/>
        </w:rPr>
        <w:t>1</w:t>
      </w:r>
      <w:r>
        <w:rPr>
          <w:rFonts w:hint="eastAsia" w:ascii="Times New Roman" w:hAnsi="Times New Roman"/>
          <w:bCs/>
          <w:color w:val="auto"/>
          <w:sz w:val="24"/>
          <w:szCs w:val="24"/>
          <w:highlight w:val="none"/>
        </w:rPr>
        <w:t>本文件仅适用于本文件中所叙述的</w:t>
      </w:r>
      <w:r>
        <w:rPr>
          <w:rFonts w:hint="eastAsia" w:ascii="Times New Roman" w:hAnsi="Times New Roman"/>
          <w:bCs/>
          <w:color w:val="auto"/>
          <w:sz w:val="24"/>
          <w:szCs w:val="24"/>
          <w:highlight w:val="none"/>
          <w:lang w:eastAsia="zh-CN"/>
        </w:rPr>
        <w:t>服务</w:t>
      </w:r>
      <w:r>
        <w:rPr>
          <w:rFonts w:hint="eastAsia" w:ascii="Times New Roman" w:hAnsi="Times New Roman"/>
          <w:bCs/>
          <w:color w:val="auto"/>
          <w:sz w:val="24"/>
          <w:szCs w:val="24"/>
          <w:highlight w:val="none"/>
        </w:rPr>
        <w:t>类政府采购项目</w:t>
      </w:r>
      <w:r>
        <w:rPr>
          <w:rFonts w:ascii="Times New Roman" w:hAnsi="Times New Roman"/>
          <w:bCs/>
          <w:color w:val="auto"/>
          <w:sz w:val="24"/>
          <w:szCs w:val="24"/>
          <w:highlight w:val="none"/>
        </w:rPr>
        <w:t>。</w:t>
      </w:r>
    </w:p>
    <w:p w14:paraId="464DF65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定义</w:t>
      </w:r>
    </w:p>
    <w:p w14:paraId="027EC577">
      <w:pPr>
        <w:pageBreakBefore w:val="0"/>
        <w:kinsoku/>
        <w:overflowPunct/>
        <w:topLinePunct w:val="0"/>
        <w:bidi w:val="0"/>
        <w:spacing w:line="360" w:lineRule="auto"/>
        <w:ind w:firstLine="480" w:firstLineChars="200"/>
        <w:rPr>
          <w:rFonts w:hint="eastAsia" w:ascii="Times New Roman" w:hAnsi="Times New Roman"/>
          <w:bCs/>
          <w:color w:val="auto"/>
          <w:sz w:val="24"/>
          <w:szCs w:val="24"/>
          <w:highlight w:val="none"/>
          <w:lang w:val="en-US"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ascii="Times New Roman" w:hAnsi="Times New Roman"/>
          <w:bCs/>
          <w:color w:val="auto"/>
          <w:sz w:val="24"/>
          <w:szCs w:val="24"/>
          <w:highlight w:val="none"/>
        </w:rPr>
        <w:t>1“采购人”是指：</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洪湖市</w:t>
      </w:r>
      <w:r>
        <w:rPr>
          <w:rFonts w:hint="eastAsia" w:asciiTheme="minorEastAsia" w:hAnsiTheme="minorEastAsia" w:eastAsiaTheme="minorEastAsia" w:cstheme="minorEastAsia"/>
          <w:i w:val="0"/>
          <w:caps w:val="0"/>
          <w:color w:val="auto"/>
          <w:spacing w:val="0"/>
          <w:sz w:val="24"/>
          <w:szCs w:val="24"/>
          <w:highlight w:val="none"/>
          <w:shd w:val="clear" w:fill="FFFFFF"/>
          <w:lang w:val="en-US" w:eastAsia="zh-CN"/>
        </w:rPr>
        <w:t>人民医院</w:t>
      </w:r>
      <w:r>
        <w:rPr>
          <w:rFonts w:hint="eastAsia" w:ascii="Times New Roman" w:hAnsi="Times New Roman"/>
          <w:color w:val="auto"/>
          <w:kern w:val="0"/>
          <w:sz w:val="24"/>
          <w:highlight w:val="none"/>
          <w:lang w:val="en-US" w:eastAsia="zh-CN"/>
        </w:rPr>
        <w:t xml:space="preserve"> </w:t>
      </w:r>
    </w:p>
    <w:p w14:paraId="3E66203E">
      <w:pPr>
        <w:pageBreakBefore w:val="0"/>
        <w:kinsoku/>
        <w:overflowPunct/>
        <w:topLinePunct w:val="0"/>
        <w:bidi w:val="0"/>
        <w:spacing w:line="360" w:lineRule="auto"/>
        <w:ind w:firstLine="480" w:firstLineChars="200"/>
        <w:rPr>
          <w:rFonts w:hint="eastAsia" w:ascii="Times New Roman" w:hAnsi="Times New Roman" w:eastAsia="宋体"/>
          <w:bCs/>
          <w:color w:val="auto"/>
          <w:sz w:val="24"/>
          <w:szCs w:val="24"/>
          <w:highlight w:val="none"/>
          <w:lang w:eastAsia="zh-CN"/>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2</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机构”是指：</w:t>
      </w:r>
      <w:r>
        <w:rPr>
          <w:rFonts w:hint="eastAsia" w:ascii="Times New Roman" w:hAnsi="Times New Roman"/>
          <w:bCs/>
          <w:color w:val="auto"/>
          <w:sz w:val="24"/>
          <w:highlight w:val="none"/>
          <w:lang w:eastAsia="zh-CN"/>
        </w:rPr>
        <w:t>洪湖市建坤工程咨询有限公司</w:t>
      </w:r>
    </w:p>
    <w:p w14:paraId="0F56B07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3</w:t>
      </w:r>
      <w:r>
        <w:rPr>
          <w:rFonts w:ascii="Times New Roman" w:hAnsi="Times New Roman"/>
          <w:bCs/>
          <w:color w:val="auto"/>
          <w:sz w:val="24"/>
          <w:szCs w:val="24"/>
          <w:highlight w:val="none"/>
        </w:rPr>
        <w:t>“磋商文件”是指：竞争性磋商文件。</w:t>
      </w:r>
    </w:p>
    <w:p w14:paraId="381425D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Times New Roman" w:hAnsi="Times New Roman"/>
          <w:bCs/>
          <w:color w:val="auto"/>
          <w:sz w:val="24"/>
          <w:szCs w:val="24"/>
          <w:highlight w:val="none"/>
          <w:lang w:val="en-US" w:eastAsia="zh-CN"/>
        </w:rPr>
        <w:t>4</w:t>
      </w:r>
      <w:r>
        <w:rPr>
          <w:rFonts w:ascii="Times New Roman" w:hAnsi="Times New Roman"/>
          <w:bCs/>
          <w:color w:val="auto"/>
          <w:sz w:val="24"/>
          <w:szCs w:val="24"/>
          <w:highlight w:val="none"/>
        </w:rPr>
        <w:t>“供应商”是指：获得该项目磋商小组确定参加竞争性磋商的法人、其他组织或者自然人。如果该供应商在本次磋商中成交,即成为“成交供应商”。</w:t>
      </w:r>
    </w:p>
    <w:p w14:paraId="0F84D37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5</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是指：成交供应商按采购文件规定，向采购人提供的一切货物及其相关服务。根据《政府采购法》的相关规定均应是本国货物，</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供应商</w:t>
      </w:r>
      <w:r>
        <w:rPr>
          <w:rFonts w:ascii="Times New Roman" w:hAnsi="Times New Roman"/>
          <w:bCs/>
          <w:color w:val="auto"/>
          <w:sz w:val="24"/>
          <w:szCs w:val="24"/>
          <w:highlight w:val="none"/>
        </w:rPr>
        <w:t>须知前附表》另有规定的除外</w:t>
      </w:r>
      <w:r>
        <w:rPr>
          <w:rFonts w:hint="eastAsia" w:ascii="Times New Roman" w:hAnsi="Times New Roman"/>
          <w:bCs/>
          <w:color w:val="auto"/>
          <w:sz w:val="24"/>
          <w:szCs w:val="24"/>
          <w:highlight w:val="none"/>
        </w:rPr>
        <w:t>。</w:t>
      </w:r>
    </w:p>
    <w:p w14:paraId="7D7E82F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hint="eastAsia" w:ascii="Times New Roman" w:hAnsi="Times New Roman"/>
          <w:bCs/>
          <w:color w:val="auto"/>
          <w:sz w:val="24"/>
          <w:szCs w:val="24"/>
          <w:highlight w:val="none"/>
          <w:lang w:val="en-US" w:eastAsia="zh-CN"/>
        </w:rPr>
        <w:t>6</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服务</w:t>
      </w:r>
      <w:r>
        <w:rPr>
          <w:rFonts w:ascii="Times New Roman" w:hAnsi="Times New Roman"/>
          <w:bCs/>
          <w:color w:val="auto"/>
          <w:sz w:val="24"/>
          <w:szCs w:val="24"/>
          <w:highlight w:val="none"/>
        </w:rPr>
        <w:t>”</w:t>
      </w:r>
      <w:r>
        <w:rPr>
          <w:rFonts w:hint="eastAsia" w:ascii="Times New Roman" w:hAnsi="Times New Roman"/>
          <w:bCs/>
          <w:color w:val="auto"/>
          <w:sz w:val="24"/>
          <w:szCs w:val="24"/>
          <w:highlight w:val="none"/>
        </w:rPr>
        <w:t>是指：成交供应商按采购文件规定向采购人提供的所有服务。</w:t>
      </w:r>
    </w:p>
    <w:p w14:paraId="42A79F6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w:t>
      </w:r>
      <w:r>
        <w:rPr>
          <w:rFonts w:ascii="宋体" w:hAnsi="宋体"/>
          <w:color w:val="auto"/>
          <w:sz w:val="24"/>
          <w:szCs w:val="24"/>
          <w:highlight w:val="none"/>
        </w:rPr>
        <w:t>.</w:t>
      </w:r>
      <w:r>
        <w:rPr>
          <w:rFonts w:hint="eastAsia" w:ascii="宋体" w:hAnsi="宋体"/>
          <w:color w:val="auto"/>
          <w:sz w:val="24"/>
          <w:szCs w:val="24"/>
          <w:highlight w:val="none"/>
          <w:lang w:val="en-US" w:eastAsia="zh-CN"/>
        </w:rPr>
        <w:t>7</w:t>
      </w:r>
      <w:r>
        <w:rPr>
          <w:rFonts w:ascii="Times New Roman" w:hAnsi="Times New Roman"/>
          <w:bCs/>
          <w:color w:val="auto"/>
          <w:sz w:val="24"/>
          <w:szCs w:val="24"/>
          <w:highlight w:val="none"/>
        </w:rPr>
        <w:t>“响应文件”是指：供供应商根据本文件要求编制包含价格、技术、服务和合同草案条款等所有内容的文件。</w:t>
      </w:r>
    </w:p>
    <w:p w14:paraId="0121BE4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供应商的应具备以下条件，并提供相关证明材料，对于未提供或提供的材料不符合本文件要求的，磋商小组将拒绝其参加磋商。资格证明文件应真实可靠、不得伪造。响应文件正本中提交的资格证明文件为复印件的，应加盖公章。</w:t>
      </w:r>
    </w:p>
    <w:p w14:paraId="2D257B3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1具备《政府采购法》第二十二条第一款规定的条件，并提供以下证明材料：</w:t>
      </w:r>
    </w:p>
    <w:p w14:paraId="6B3CDBE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1）法人或者其他组织的营业执照等证明文件，如供应商是自然人的提供身份证明材料；</w:t>
      </w:r>
    </w:p>
    <w:p w14:paraId="4E04314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2）财务状况报告，依法缴纳税收和社会保障资金的相关材料；</w:t>
      </w:r>
    </w:p>
    <w:p w14:paraId="2685E44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3）具备履行合同所必需的设备和专业技术能力的证明材料；</w:t>
      </w:r>
    </w:p>
    <w:p w14:paraId="1D98B8A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4）参加政府采购活动前3年内在经营活动中没有重大违法记录的书面声明；</w:t>
      </w:r>
    </w:p>
    <w:p w14:paraId="5195C8D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2如经营、开发或承担本采购项目的货物、服务国家有相关资质要求、或强制性规范、或行业标准的，应已经取得并提供相应的资质证书；</w:t>
      </w:r>
    </w:p>
    <w:p w14:paraId="0BAC49A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3未被列入“信用中国”网站(www.creditchina. gov.cn)失信被执行人、重大税收违法案件当事人名单、政府采购严重违法失信行为记录名单的网页打印件。</w:t>
      </w:r>
    </w:p>
    <w:p w14:paraId="6A17261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w:t>
      </w:r>
      <w:r>
        <w:rPr>
          <w:rFonts w:ascii="宋体" w:hAnsi="宋体"/>
          <w:color w:val="auto"/>
          <w:sz w:val="24"/>
          <w:szCs w:val="24"/>
          <w:highlight w:val="none"/>
        </w:rPr>
        <w:t>.</w:t>
      </w:r>
      <w:r>
        <w:rPr>
          <w:rFonts w:ascii="Times New Roman" w:hAnsi="Times New Roman"/>
          <w:bCs/>
          <w:color w:val="auto"/>
          <w:sz w:val="24"/>
          <w:szCs w:val="24"/>
          <w:highlight w:val="none"/>
        </w:rPr>
        <w:t>4本文件第一章第</w:t>
      </w:r>
      <w:r>
        <w:rPr>
          <w:rFonts w:hint="eastAsia" w:ascii="Times New Roman" w:hAnsi="Times New Roman"/>
          <w:bCs/>
          <w:color w:val="auto"/>
          <w:sz w:val="24"/>
          <w:szCs w:val="24"/>
          <w:highlight w:val="none"/>
          <w:lang w:eastAsia="zh-CN"/>
        </w:rPr>
        <w:t>二</w:t>
      </w:r>
      <w:r>
        <w:rPr>
          <w:rFonts w:ascii="Times New Roman" w:hAnsi="Times New Roman"/>
          <w:bCs/>
          <w:color w:val="auto"/>
          <w:sz w:val="24"/>
          <w:szCs w:val="24"/>
          <w:highlight w:val="none"/>
        </w:rPr>
        <w:t>条除上述以外的条款。</w:t>
      </w:r>
    </w:p>
    <w:p w14:paraId="1F34C399">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费用</w:t>
      </w:r>
    </w:p>
    <w:p w14:paraId="1F99C9F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4</w:t>
      </w:r>
      <w:r>
        <w:rPr>
          <w:rFonts w:ascii="宋体" w:hAnsi="宋体"/>
          <w:color w:val="auto"/>
          <w:sz w:val="24"/>
          <w:szCs w:val="24"/>
          <w:highlight w:val="none"/>
        </w:rPr>
        <w:t>.</w:t>
      </w:r>
      <w:r>
        <w:rPr>
          <w:rFonts w:ascii="Times New Roman" w:hAnsi="Times New Roman"/>
          <w:bCs/>
          <w:color w:val="auto"/>
          <w:sz w:val="24"/>
          <w:szCs w:val="24"/>
          <w:highlight w:val="none"/>
        </w:rPr>
        <w:t>1供应商应自行承担所有与编写和提交响应文件有关的费用，不论磋商结果如何，采购人和</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机构在任何情况下无义务和责任承担此类费用。</w:t>
      </w:r>
    </w:p>
    <w:p w14:paraId="0D1121C3">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二、响应文件的编制</w:t>
      </w:r>
    </w:p>
    <w:p w14:paraId="5787884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响应文件编制基本要求</w:t>
      </w:r>
    </w:p>
    <w:p w14:paraId="2681C05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1响应文件以及与</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机构和采购人就有关磋商的所有来往函电均应使用简体中文。</w:t>
      </w:r>
    </w:p>
    <w:p w14:paraId="569492B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2供应商应认真阅读、并充分理解本文件的全部内容（包括所有的补充、修改内容），承诺并履行本文件中各项条款规定及要求。</w:t>
      </w:r>
    </w:p>
    <w:p w14:paraId="0E3D4B2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3响应文件应按本文件的全部内容，包括所有的补充通知及附件进行编制。供应商受邀参加本文件多个包磋商的，其响应文件的编制应按每包要求分别装订和封装。</w:t>
      </w:r>
    </w:p>
    <w:p w14:paraId="124665C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4如因供应商只填写和提供了本文件要求的部分内容和附件，磋商小组有权拒绝其补充和磋商。</w:t>
      </w:r>
    </w:p>
    <w:p w14:paraId="68C621B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5</w:t>
      </w:r>
      <w:r>
        <w:rPr>
          <w:rFonts w:ascii="宋体" w:hAnsi="宋体"/>
          <w:color w:val="auto"/>
          <w:sz w:val="24"/>
          <w:szCs w:val="24"/>
          <w:highlight w:val="none"/>
        </w:rPr>
        <w:t>.</w:t>
      </w:r>
      <w:r>
        <w:rPr>
          <w:rFonts w:ascii="Times New Roman" w:hAnsi="Times New Roman"/>
          <w:bCs/>
          <w:color w:val="auto"/>
          <w:sz w:val="24"/>
          <w:szCs w:val="24"/>
          <w:highlight w:val="none"/>
        </w:rPr>
        <w:t>5响应文件的组成</w:t>
      </w:r>
    </w:p>
    <w:p w14:paraId="0DAD1B9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不限于以下内容,应该有的必须提供,如未提供,磋商小组有权</w:t>
      </w:r>
      <w:r>
        <w:rPr>
          <w:rFonts w:ascii="Times New Roman" w:hAnsi="Times New Roman"/>
          <w:b/>
          <w:bCs w:val="0"/>
          <w:color w:val="auto"/>
          <w:sz w:val="24"/>
          <w:szCs w:val="24"/>
          <w:highlight w:val="none"/>
        </w:rPr>
        <w:t>拒绝其响应文件</w:t>
      </w:r>
      <w:r>
        <w:rPr>
          <w:rFonts w:ascii="Times New Roman" w:hAnsi="Times New Roman"/>
          <w:bCs/>
          <w:color w:val="auto"/>
          <w:sz w:val="24"/>
          <w:szCs w:val="24"/>
          <w:highlight w:val="none"/>
        </w:rPr>
        <w:t>：</w:t>
      </w:r>
    </w:p>
    <w:p w14:paraId="2FE26D28">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1）磋商书(附件1)；</w:t>
      </w:r>
    </w:p>
    <w:p w14:paraId="25CAB4D8">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2）报价组成情况表(附件2)；</w:t>
      </w:r>
    </w:p>
    <w:p w14:paraId="3383AB71">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3）货物（服务）清单(附件3)；</w:t>
      </w:r>
    </w:p>
    <w:p w14:paraId="6EDB62BC">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4）资格性符合性检查对照表(附件4)；</w:t>
      </w:r>
    </w:p>
    <w:p w14:paraId="0185E6A1">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5）技术响应、偏离情况说明表(附件5)；</w:t>
      </w:r>
    </w:p>
    <w:p w14:paraId="5ED71DB1">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6）合同草案条款响应、偏离情况说明表(附件6)；</w:t>
      </w:r>
    </w:p>
    <w:p w14:paraId="26745E7C">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7）法人（负责人）代表授权书(附件7)；</w:t>
      </w:r>
    </w:p>
    <w:p w14:paraId="0AC87DA9">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8）法人或者其他组织的营业执照等证明文件，自然人的身份证明(附件8)；</w:t>
      </w:r>
    </w:p>
    <w:p w14:paraId="5DD9682F">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9）符合国家相关规定的财务状况报告书面承诺书，依法缴纳税收和社会保障资金的书面承诺书(附件9)；</w:t>
      </w:r>
    </w:p>
    <w:p w14:paraId="4061A06D">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10）具备履行合同所必需的设备和专业技术能力的书面承诺书(附件10)；</w:t>
      </w:r>
    </w:p>
    <w:p w14:paraId="75E0BCED">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11）参加政府采购活动前3年内在经营活动中没有重大违法记录的书面声明(附件11)；</w:t>
      </w:r>
    </w:p>
    <w:p w14:paraId="42BF3585">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12）</w:t>
      </w:r>
      <w:r>
        <w:rPr>
          <w:rFonts w:hint="eastAsia" w:ascii="宋体" w:hAnsi="宋体" w:cs="宋体"/>
          <w:color w:val="auto"/>
          <w:kern w:val="0"/>
          <w:sz w:val="24"/>
          <w:highlight w:val="none"/>
        </w:rPr>
        <w:t>未被列入“信用中国”网站（www.creditchina.gov.cn）失信被执行人和重大税收违法案件当事人名单以及“中国政府采购网”(www.ccgp.gov.cn)的政府采购严重违法失信行为记录名单</w:t>
      </w:r>
      <w:r>
        <w:rPr>
          <w:bCs/>
          <w:color w:val="auto"/>
          <w:sz w:val="24"/>
          <w:highlight w:val="none"/>
          <w:lang w:bidi="ar-EG"/>
        </w:rPr>
        <w:t>的</w:t>
      </w:r>
      <w:r>
        <w:rPr>
          <w:rFonts w:hint="eastAsia"/>
          <w:bCs/>
          <w:color w:val="auto"/>
          <w:sz w:val="24"/>
          <w:highlight w:val="none"/>
          <w:lang w:bidi="ar-EG"/>
        </w:rPr>
        <w:t>书面声明</w:t>
      </w:r>
      <w:r>
        <w:rPr>
          <w:rFonts w:hint="eastAsia"/>
          <w:bCs/>
          <w:color w:val="auto"/>
          <w:sz w:val="24"/>
          <w:highlight w:val="none"/>
        </w:rPr>
        <w:t>(附件12)。</w:t>
      </w:r>
    </w:p>
    <w:p w14:paraId="3B73F97E">
      <w:pPr>
        <w:pageBreakBefore w:val="0"/>
        <w:kinsoku/>
        <w:overflowPunct/>
        <w:topLinePunct w:val="0"/>
        <w:bidi w:val="0"/>
        <w:spacing w:line="360" w:lineRule="auto"/>
        <w:ind w:left="362" w:leftChars="1" w:hanging="360" w:hangingChars="150"/>
        <w:rPr>
          <w:bCs/>
          <w:color w:val="auto"/>
          <w:sz w:val="24"/>
          <w:highlight w:val="none"/>
        </w:rPr>
      </w:pPr>
      <w:r>
        <w:rPr>
          <w:rFonts w:hint="eastAsia"/>
          <w:color w:val="auto"/>
          <w:sz w:val="24"/>
          <w:highlight w:val="none"/>
        </w:rPr>
        <w:t>13）符合政府采购政策情况表</w:t>
      </w:r>
      <w:r>
        <w:rPr>
          <w:color w:val="auto"/>
          <w:sz w:val="24"/>
          <w:highlight w:val="none"/>
        </w:rPr>
        <w:t>(</w:t>
      </w:r>
      <w:r>
        <w:rPr>
          <w:rFonts w:hint="eastAsia"/>
          <w:color w:val="auto"/>
          <w:sz w:val="24"/>
          <w:highlight w:val="none"/>
        </w:rPr>
        <w:t>附件13</w:t>
      </w:r>
      <w:r>
        <w:rPr>
          <w:color w:val="auto"/>
          <w:sz w:val="24"/>
          <w:highlight w:val="none"/>
        </w:rPr>
        <w:t>)</w:t>
      </w:r>
      <w:r>
        <w:rPr>
          <w:rFonts w:hint="eastAsia"/>
          <w:color w:val="auto"/>
          <w:sz w:val="24"/>
          <w:highlight w:val="none"/>
        </w:rPr>
        <w:t>；</w:t>
      </w:r>
    </w:p>
    <w:p w14:paraId="5D2C2D0B">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14）《中小企业声明函》、《残疾人福利性单位声明函》、属于监狱企业的证明文件等（如果有的话）(附件13-</w:t>
      </w:r>
      <w:r>
        <w:rPr>
          <w:rFonts w:ascii="宋体" w:hAnsi="宋体"/>
          <w:bCs/>
          <w:color w:val="auto"/>
          <w:sz w:val="24"/>
          <w:highlight w:val="none"/>
        </w:rPr>
        <w:t>1</w:t>
      </w:r>
      <w:r>
        <w:rPr>
          <w:rFonts w:hint="eastAsia" w:ascii="宋体" w:hAnsi="宋体"/>
          <w:bCs/>
          <w:color w:val="auto"/>
          <w:sz w:val="24"/>
          <w:highlight w:val="none"/>
        </w:rPr>
        <w:t>～</w:t>
      </w:r>
      <w:r>
        <w:rPr>
          <w:rFonts w:ascii="宋体" w:hAnsi="宋体"/>
          <w:bCs/>
          <w:color w:val="auto"/>
          <w:sz w:val="24"/>
          <w:highlight w:val="none"/>
        </w:rPr>
        <w:t>3</w:t>
      </w:r>
      <w:r>
        <w:rPr>
          <w:rFonts w:hint="eastAsia"/>
          <w:bCs/>
          <w:color w:val="auto"/>
          <w:sz w:val="24"/>
          <w:highlight w:val="none"/>
        </w:rPr>
        <w:t>)。</w:t>
      </w:r>
    </w:p>
    <w:p w14:paraId="585333C7">
      <w:pPr>
        <w:pageBreakBefore w:val="0"/>
        <w:kinsoku/>
        <w:overflowPunct/>
        <w:topLinePunct w:val="0"/>
        <w:bidi w:val="0"/>
        <w:spacing w:line="360" w:lineRule="auto"/>
        <w:ind w:left="362" w:leftChars="1" w:hanging="360" w:hangingChars="150"/>
        <w:rPr>
          <w:bCs/>
          <w:color w:val="auto"/>
          <w:sz w:val="24"/>
          <w:highlight w:val="none"/>
        </w:rPr>
      </w:pPr>
      <w:r>
        <w:rPr>
          <w:rFonts w:hint="eastAsia"/>
          <w:bCs/>
          <w:color w:val="auto"/>
          <w:sz w:val="24"/>
          <w:highlight w:val="none"/>
        </w:rPr>
        <w:t>15）</w:t>
      </w:r>
      <w:r>
        <w:rPr>
          <w:rFonts w:hint="eastAsia" w:cs="宋体"/>
          <w:color w:val="auto"/>
          <w:sz w:val="24"/>
          <w:highlight w:val="none"/>
        </w:rPr>
        <w:t>按</w:t>
      </w:r>
      <w:r>
        <w:rPr>
          <w:rFonts w:hint="eastAsia" w:cs="宋体"/>
          <w:bCs/>
          <w:color w:val="auto"/>
          <w:sz w:val="24"/>
          <w:highlight w:val="none"/>
        </w:rPr>
        <w:t>《供应商须知前附表》</w:t>
      </w:r>
      <w:r>
        <w:rPr>
          <w:rFonts w:hint="eastAsia" w:cs="宋体"/>
          <w:color w:val="auto"/>
          <w:sz w:val="24"/>
          <w:highlight w:val="none"/>
        </w:rPr>
        <w:t>规定需要</w:t>
      </w:r>
      <w:r>
        <w:rPr>
          <w:rFonts w:hint="eastAsia"/>
          <w:bCs/>
          <w:color w:val="auto"/>
          <w:sz w:val="24"/>
          <w:highlight w:val="none"/>
        </w:rPr>
        <w:t>提供的其他资格证明文件及资料。</w:t>
      </w:r>
    </w:p>
    <w:p w14:paraId="460B2E4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p>
    <w:p w14:paraId="2EBBF41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计量单位</w:t>
      </w:r>
    </w:p>
    <w:p w14:paraId="7ED2CFB0">
      <w:pPr>
        <w:pageBreakBefore w:val="0"/>
        <w:kinsoku/>
        <w:overflowPunct/>
        <w:topLinePunct w:val="0"/>
        <w:bidi w:val="0"/>
        <w:spacing w:line="360" w:lineRule="auto"/>
        <w:ind w:firstLine="480" w:firstLineChars="200"/>
        <w:rPr>
          <w:rFonts w:ascii="Times New Roman" w:hAnsi="Times New Roman"/>
          <w:bCs/>
          <w:color w:val="auto"/>
          <w:spacing w:val="-6"/>
          <w:sz w:val="24"/>
          <w:szCs w:val="24"/>
          <w:highlight w:val="none"/>
        </w:rPr>
      </w:pPr>
      <w:r>
        <w:rPr>
          <w:rFonts w:hint="eastAsia" w:ascii="Times New Roman" w:hAnsi="Times New Roman"/>
          <w:bCs/>
          <w:color w:val="auto"/>
          <w:sz w:val="24"/>
          <w:szCs w:val="24"/>
          <w:highlight w:val="none"/>
          <w:lang w:val="en-US" w:eastAsia="zh-CN"/>
        </w:rPr>
        <w:t>6</w:t>
      </w:r>
      <w:r>
        <w:rPr>
          <w:rFonts w:ascii="宋体" w:hAnsi="宋体"/>
          <w:color w:val="auto"/>
          <w:sz w:val="24"/>
          <w:szCs w:val="24"/>
          <w:highlight w:val="none"/>
        </w:rPr>
        <w:t>.</w:t>
      </w:r>
      <w:r>
        <w:rPr>
          <w:rFonts w:ascii="Times New Roman" w:hAnsi="Times New Roman"/>
          <w:bCs/>
          <w:color w:val="auto"/>
          <w:sz w:val="24"/>
          <w:szCs w:val="24"/>
          <w:highlight w:val="none"/>
        </w:rPr>
        <w:t>1除</w:t>
      </w:r>
      <w:r>
        <w:rPr>
          <w:rFonts w:ascii="Times New Roman" w:hAnsi="Times New Roman"/>
          <w:bCs/>
          <w:color w:val="auto"/>
          <w:spacing w:val="-6"/>
          <w:sz w:val="24"/>
          <w:szCs w:val="24"/>
          <w:highlight w:val="none"/>
        </w:rPr>
        <w:t>技术要求中另有规定外，本文件所使用的计量单位均应采用国家法定计量单位。</w:t>
      </w:r>
    </w:p>
    <w:p w14:paraId="195C9E7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三、响应文件有效期</w:t>
      </w:r>
    </w:p>
    <w:p w14:paraId="1365F22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7</w:t>
      </w:r>
      <w:r>
        <w:rPr>
          <w:rFonts w:ascii="宋体" w:hAnsi="宋体"/>
          <w:color w:val="auto"/>
          <w:sz w:val="24"/>
          <w:szCs w:val="24"/>
          <w:highlight w:val="none"/>
        </w:rPr>
        <w:t>.</w:t>
      </w:r>
      <w:r>
        <w:rPr>
          <w:rFonts w:ascii="Times New Roman" w:hAnsi="Times New Roman"/>
          <w:bCs/>
          <w:color w:val="auto"/>
          <w:sz w:val="24"/>
          <w:szCs w:val="24"/>
          <w:highlight w:val="none"/>
        </w:rPr>
        <w:t>本项目磋商内容自磋商之日算</w:t>
      </w:r>
      <w:r>
        <w:rPr>
          <w:rFonts w:ascii="Times New Roman" w:hAnsi="Times New Roman"/>
          <w:bCs/>
          <w:color w:val="auto"/>
          <w:sz w:val="24"/>
          <w:highlight w:val="none"/>
        </w:rPr>
        <w:t>起（</w:t>
      </w:r>
      <w:r>
        <w:rPr>
          <w:rFonts w:hint="eastAsia" w:ascii="Times New Roman" w:hAnsi="Times New Roman"/>
          <w:bCs/>
          <w:color w:val="auto"/>
          <w:sz w:val="24"/>
          <w:highlight w:val="none"/>
          <w:lang w:val="en-US" w:eastAsia="zh-CN"/>
        </w:rPr>
        <w:t>90</w:t>
      </w:r>
      <w:r>
        <w:rPr>
          <w:rFonts w:ascii="Times New Roman" w:hAnsi="Times New Roman"/>
          <w:bCs/>
          <w:color w:val="auto"/>
          <w:sz w:val="24"/>
          <w:highlight w:val="none"/>
        </w:rPr>
        <w:t>）日历日内</w:t>
      </w:r>
      <w:r>
        <w:rPr>
          <w:rFonts w:ascii="Times New Roman" w:hAnsi="Times New Roman"/>
          <w:bCs/>
          <w:color w:val="auto"/>
          <w:sz w:val="24"/>
          <w:szCs w:val="24"/>
          <w:highlight w:val="none"/>
        </w:rPr>
        <w:t>保持有效。磋商结束后，在有效期内供应商不得改变磋商报价、服务期及承诺的全部义务。响应文件有效期比本文件规定短的，磋商小组将视</w:t>
      </w:r>
      <w:r>
        <w:rPr>
          <w:rFonts w:ascii="Times New Roman" w:hAnsi="Times New Roman"/>
          <w:b/>
          <w:bCs w:val="0"/>
          <w:color w:val="auto"/>
          <w:sz w:val="24"/>
          <w:szCs w:val="24"/>
          <w:highlight w:val="none"/>
        </w:rPr>
        <w:t>响应文件无效予以拒绝</w:t>
      </w:r>
      <w:r>
        <w:rPr>
          <w:rFonts w:ascii="Times New Roman" w:hAnsi="Times New Roman"/>
          <w:bCs/>
          <w:color w:val="auto"/>
          <w:sz w:val="24"/>
          <w:szCs w:val="24"/>
          <w:highlight w:val="none"/>
        </w:rPr>
        <w:t>。</w:t>
      </w:r>
    </w:p>
    <w:p w14:paraId="1FD5C2F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8</w:t>
      </w:r>
      <w:r>
        <w:rPr>
          <w:rFonts w:ascii="宋体" w:hAnsi="宋体"/>
          <w:color w:val="auto"/>
          <w:sz w:val="24"/>
          <w:szCs w:val="24"/>
          <w:highlight w:val="none"/>
        </w:rPr>
        <w:t>.</w:t>
      </w:r>
      <w:r>
        <w:rPr>
          <w:rFonts w:ascii="Times New Roman" w:hAnsi="Times New Roman"/>
          <w:bCs/>
          <w:color w:val="auto"/>
          <w:sz w:val="24"/>
          <w:szCs w:val="24"/>
          <w:highlight w:val="none"/>
        </w:rPr>
        <w:t>在特殊情况下，在原磋商有效期满之前，</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机构可向供应商提出延长磋商有效期的要求。这种要求与答复均应采用书面形式。供应商可以拒绝</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机构的要求，但其响应文件在原有效期期满后将不再有效。同意延长磋商有效期的供应商不允许修改其响应文件。</w:t>
      </w:r>
    </w:p>
    <w:p w14:paraId="7FDF6E3A">
      <w:pPr>
        <w:pageBreakBefore w:val="0"/>
        <w:kinsoku/>
        <w:overflowPunct/>
        <w:topLinePunct w:val="0"/>
        <w:bidi w:val="0"/>
        <w:spacing w:line="360" w:lineRule="auto"/>
        <w:ind w:firstLine="480" w:firstLineChars="200"/>
        <w:outlineLvl w:val="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四、报价要求</w:t>
      </w:r>
    </w:p>
    <w:p w14:paraId="0D8BC64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w:t>
      </w:r>
      <w:r>
        <w:rPr>
          <w:rFonts w:ascii="宋体" w:hAnsi="宋体"/>
          <w:color w:val="auto"/>
          <w:sz w:val="24"/>
          <w:szCs w:val="24"/>
          <w:highlight w:val="none"/>
        </w:rPr>
        <w:t>.</w:t>
      </w:r>
      <w:r>
        <w:rPr>
          <w:rFonts w:ascii="Times New Roman" w:hAnsi="Times New Roman"/>
          <w:color w:val="auto"/>
          <w:sz w:val="24"/>
          <w:szCs w:val="24"/>
          <w:highlight w:val="none"/>
        </w:rPr>
        <w:t>报价以人民币报价。</w:t>
      </w:r>
    </w:p>
    <w:p w14:paraId="281609A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10</w:t>
      </w:r>
      <w:r>
        <w:rPr>
          <w:rFonts w:ascii="宋体" w:hAnsi="宋体"/>
          <w:color w:val="auto"/>
          <w:sz w:val="24"/>
          <w:szCs w:val="24"/>
          <w:highlight w:val="none"/>
        </w:rPr>
        <w:t>.</w:t>
      </w:r>
      <w:r>
        <w:rPr>
          <w:rFonts w:ascii="Times New Roman" w:hAnsi="Times New Roman"/>
          <w:bCs/>
          <w:color w:val="auto"/>
          <w:sz w:val="24"/>
          <w:szCs w:val="24"/>
          <w:highlight w:val="none"/>
        </w:rPr>
        <w:t>对于本文件中未列明，而供应商认为必需的费用也需列入总报价。在合同实施时，采购人不予支付成交供应商没有列入的项目费用，并认为此项目的费用已包括在总报价中。</w:t>
      </w:r>
    </w:p>
    <w:p w14:paraId="47C6ED9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11</w:t>
      </w:r>
      <w:r>
        <w:rPr>
          <w:rFonts w:ascii="宋体" w:hAnsi="宋体"/>
          <w:color w:val="auto"/>
          <w:sz w:val="24"/>
          <w:szCs w:val="24"/>
          <w:highlight w:val="none"/>
        </w:rPr>
        <w:t>.</w:t>
      </w:r>
      <w:r>
        <w:rPr>
          <w:rFonts w:ascii="Times New Roman" w:hAnsi="Times New Roman"/>
          <w:bCs/>
          <w:color w:val="auto"/>
          <w:sz w:val="24"/>
          <w:szCs w:val="24"/>
          <w:highlight w:val="none"/>
        </w:rPr>
        <w:t>成交供应商负</w:t>
      </w:r>
      <w:r>
        <w:rPr>
          <w:rFonts w:ascii="Times New Roman" w:hAnsi="Times New Roman"/>
          <w:color w:val="auto"/>
          <w:sz w:val="24"/>
          <w:szCs w:val="24"/>
          <w:highlight w:val="none"/>
        </w:rPr>
        <w:t>责本项目所需的售后服务等全部工作，文件另有规定的除外。</w:t>
      </w:r>
    </w:p>
    <w:p w14:paraId="2DE3558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五、响应文件的份数、封装和递交</w:t>
      </w:r>
    </w:p>
    <w:p w14:paraId="02D9EC7E">
      <w:pPr>
        <w:pStyle w:val="2"/>
        <w:pageBreakBefore w:val="0"/>
        <w:kinsoku/>
        <w:overflowPunct/>
        <w:topLinePunct w:val="0"/>
        <w:bidi w:val="0"/>
        <w:spacing w:line="360" w:lineRule="auto"/>
        <w:ind w:firstLine="480" w:firstLineChars="200"/>
        <w:rPr>
          <w:color w:val="auto"/>
        </w:rPr>
      </w:pPr>
      <w:r>
        <w:rPr>
          <w:rFonts w:hint="eastAsia"/>
          <w:color w:val="auto"/>
        </w:rPr>
        <w:t>12. 响应文件的递交</w:t>
      </w:r>
    </w:p>
    <w:p w14:paraId="5692C8C0">
      <w:pPr>
        <w:pStyle w:val="2"/>
        <w:pageBreakBefore w:val="0"/>
        <w:kinsoku/>
        <w:overflowPunct/>
        <w:topLinePunct w:val="0"/>
        <w:bidi w:val="0"/>
        <w:spacing w:line="360" w:lineRule="auto"/>
        <w:ind w:firstLine="480" w:firstLineChars="200"/>
        <w:rPr>
          <w:color w:val="auto"/>
        </w:rPr>
      </w:pPr>
      <w:r>
        <w:rPr>
          <w:rFonts w:hint="eastAsia"/>
          <w:color w:val="auto"/>
        </w:rPr>
        <w:t>12.1响应文件一式</w:t>
      </w:r>
      <w:r>
        <w:rPr>
          <w:rFonts w:hint="eastAsia"/>
          <w:color w:val="auto"/>
          <w:lang w:eastAsia="zh-CN"/>
        </w:rPr>
        <w:t>三</w:t>
      </w:r>
      <w:r>
        <w:rPr>
          <w:rFonts w:hint="eastAsia"/>
          <w:color w:val="auto"/>
        </w:rPr>
        <w:t>份，其中正本一份，副本</w:t>
      </w:r>
      <w:r>
        <w:rPr>
          <w:rFonts w:hint="eastAsia"/>
          <w:color w:val="auto"/>
          <w:lang w:eastAsia="zh-CN"/>
        </w:rPr>
        <w:t>二</w:t>
      </w:r>
      <w:r>
        <w:rPr>
          <w:rFonts w:hint="eastAsia"/>
          <w:color w:val="auto"/>
        </w:rPr>
        <w:t>份。</w:t>
      </w:r>
    </w:p>
    <w:p w14:paraId="6A2C316B">
      <w:pPr>
        <w:pStyle w:val="2"/>
        <w:pageBreakBefore w:val="0"/>
        <w:kinsoku/>
        <w:overflowPunct/>
        <w:topLinePunct w:val="0"/>
        <w:bidi w:val="0"/>
        <w:spacing w:line="360" w:lineRule="auto"/>
        <w:ind w:firstLine="480" w:firstLineChars="200"/>
        <w:rPr>
          <w:color w:val="auto"/>
        </w:rPr>
      </w:pPr>
      <w:r>
        <w:rPr>
          <w:rFonts w:hint="eastAsia"/>
          <w:color w:val="auto"/>
        </w:rPr>
        <w:t>12.2响应文件的信封上应写明:项目编号、项目名称、磋商内容、供应商名称。</w:t>
      </w:r>
    </w:p>
    <w:p w14:paraId="1A10ACAA">
      <w:pPr>
        <w:pageBreakBefore w:val="0"/>
        <w:kinsoku/>
        <w:overflowPunct/>
        <w:topLinePunct w:val="0"/>
        <w:bidi w:val="0"/>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响应文件的递交</w:t>
      </w:r>
    </w:p>
    <w:p w14:paraId="633E56A8">
      <w:pPr>
        <w:pageBreakBefore w:val="0"/>
        <w:kinsoku/>
        <w:overflowPunct/>
        <w:topLinePunct w:val="0"/>
        <w:bidi w:val="0"/>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13</w:t>
      </w:r>
      <w:r>
        <w:rPr>
          <w:rFonts w:ascii="宋体" w:hAnsi="宋体"/>
          <w:color w:val="auto"/>
          <w:sz w:val="24"/>
          <w:szCs w:val="24"/>
        </w:rPr>
        <w:t>.</w:t>
      </w:r>
      <w:r>
        <w:rPr>
          <w:rFonts w:ascii="Times New Roman" w:hAnsi="Times New Roman"/>
          <w:bCs/>
          <w:color w:val="auto"/>
          <w:sz w:val="24"/>
          <w:szCs w:val="24"/>
        </w:rPr>
        <w:t>1所有响应文件应于第一章“竞争性磋商邀请函”中规定的时间前递交到</w:t>
      </w:r>
      <w:r>
        <w:rPr>
          <w:rFonts w:hint="eastAsia" w:ascii="Times New Roman" w:hAnsi="Times New Roman"/>
          <w:bCs/>
          <w:color w:val="auto"/>
          <w:sz w:val="24"/>
          <w:szCs w:val="24"/>
        </w:rPr>
        <w:t>分散采购</w:t>
      </w:r>
      <w:r>
        <w:rPr>
          <w:rFonts w:ascii="Times New Roman" w:hAnsi="Times New Roman"/>
          <w:bCs/>
          <w:color w:val="auto"/>
          <w:sz w:val="24"/>
          <w:szCs w:val="24"/>
        </w:rPr>
        <w:t>机构。</w:t>
      </w:r>
    </w:p>
    <w:p w14:paraId="7938493E">
      <w:pPr>
        <w:pageBreakBefore w:val="0"/>
        <w:kinsoku/>
        <w:overflowPunct/>
        <w:topLinePunct w:val="0"/>
        <w:bidi w:val="0"/>
        <w:spacing w:line="360" w:lineRule="auto"/>
        <w:ind w:firstLine="480" w:firstLineChars="200"/>
        <w:rPr>
          <w:rFonts w:ascii="Times New Roman" w:hAnsi="Times New Roman"/>
          <w:bCs/>
          <w:color w:val="auto"/>
          <w:sz w:val="24"/>
          <w:szCs w:val="24"/>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迟交的响应文件</w:t>
      </w:r>
    </w:p>
    <w:p w14:paraId="237F1A28">
      <w:pPr>
        <w:pageBreakBefore w:val="0"/>
        <w:kinsoku/>
        <w:overflowPunct/>
        <w:topLinePunct w:val="0"/>
        <w:bidi w:val="0"/>
        <w:spacing w:line="360" w:lineRule="auto"/>
        <w:ind w:firstLine="480" w:firstLineChars="200"/>
        <w:rPr>
          <w:color w:val="auto"/>
          <w:highlight w:val="none"/>
        </w:rPr>
      </w:pPr>
      <w:r>
        <w:rPr>
          <w:rFonts w:ascii="Times New Roman" w:hAnsi="Times New Roman"/>
          <w:bCs/>
          <w:color w:val="auto"/>
          <w:sz w:val="24"/>
          <w:szCs w:val="24"/>
        </w:rPr>
        <w:t>14</w:t>
      </w:r>
      <w:r>
        <w:rPr>
          <w:rFonts w:ascii="宋体" w:hAnsi="宋体"/>
          <w:color w:val="auto"/>
          <w:sz w:val="24"/>
          <w:szCs w:val="24"/>
        </w:rPr>
        <w:t>.</w:t>
      </w:r>
      <w:r>
        <w:rPr>
          <w:rFonts w:ascii="Times New Roman" w:hAnsi="Times New Roman"/>
          <w:bCs/>
          <w:color w:val="auto"/>
          <w:sz w:val="24"/>
          <w:szCs w:val="24"/>
        </w:rPr>
        <w:t>1</w:t>
      </w:r>
      <w:r>
        <w:rPr>
          <w:rFonts w:hint="eastAsia" w:ascii="Times New Roman" w:hAnsi="Times New Roman"/>
          <w:bCs/>
          <w:color w:val="auto"/>
          <w:sz w:val="24"/>
          <w:szCs w:val="24"/>
        </w:rPr>
        <w:t>分散采购</w:t>
      </w:r>
      <w:r>
        <w:rPr>
          <w:rFonts w:ascii="Times New Roman" w:hAnsi="Times New Roman"/>
          <w:bCs/>
          <w:color w:val="auto"/>
          <w:sz w:val="24"/>
          <w:szCs w:val="24"/>
        </w:rPr>
        <w:t>机构将拒绝或原封退回在其规定的递交响应文件截止时间之后递交的任何响应文件。</w:t>
      </w:r>
    </w:p>
    <w:p w14:paraId="370FF9F8">
      <w:pPr>
        <w:pStyle w:val="2"/>
        <w:pageBreakBefore w:val="0"/>
        <w:kinsoku/>
        <w:overflowPunct/>
        <w:topLinePunct w:val="0"/>
        <w:bidi w:val="0"/>
        <w:spacing w:line="360" w:lineRule="auto"/>
        <w:rPr>
          <w:color w:val="auto"/>
          <w:highlight w:val="none"/>
        </w:rPr>
      </w:pPr>
    </w:p>
    <w:p w14:paraId="6F26BB2A">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六、磋商小组的组成</w:t>
      </w:r>
    </w:p>
    <w:p w14:paraId="23FF247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磋商小组成员由采购人代表一名和外聘专家两名及以上（技术、经济、法律等方面）组成，外聘专家从专家库中随机抽取。</w:t>
      </w:r>
    </w:p>
    <w:p w14:paraId="091D8AB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15</w:t>
      </w:r>
      <w:r>
        <w:rPr>
          <w:rFonts w:ascii="宋体" w:hAnsi="宋体"/>
          <w:color w:val="auto"/>
          <w:sz w:val="24"/>
          <w:szCs w:val="24"/>
          <w:highlight w:val="none"/>
        </w:rPr>
        <w:t>.</w:t>
      </w:r>
      <w:r>
        <w:rPr>
          <w:rFonts w:ascii="Times New Roman" w:hAnsi="Times New Roman"/>
          <w:bCs/>
          <w:color w:val="auto"/>
          <w:sz w:val="24"/>
          <w:szCs w:val="24"/>
          <w:highlight w:val="none"/>
        </w:rPr>
        <w:t>1磋商小组负责制定磋商文件、确定磋商供应商名单、响应文件的评审、磋商谈判、商务服务评议并评分、根据综合评分情况编写评审报告，协助处理质疑等工作。</w:t>
      </w:r>
    </w:p>
    <w:p w14:paraId="3F44C640">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七、磋商的步骤</w:t>
      </w:r>
    </w:p>
    <w:p w14:paraId="01416FA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16</w:t>
      </w:r>
      <w:r>
        <w:rPr>
          <w:rFonts w:ascii="宋体" w:hAnsi="宋体"/>
          <w:color w:val="auto"/>
          <w:sz w:val="24"/>
          <w:szCs w:val="24"/>
          <w:highlight w:val="none"/>
        </w:rPr>
        <w:t>.</w:t>
      </w:r>
      <w:r>
        <w:rPr>
          <w:rFonts w:ascii="Times New Roman" w:hAnsi="Times New Roman"/>
          <w:bCs/>
          <w:color w:val="auto"/>
          <w:sz w:val="24"/>
          <w:szCs w:val="24"/>
          <w:highlight w:val="none"/>
        </w:rPr>
        <w:t>供应商授权代表及其项目相关的商务技术人员按要求参加本项目磋商过程。</w:t>
      </w:r>
    </w:p>
    <w:p w14:paraId="44699E7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资格性审查</w:t>
      </w:r>
    </w:p>
    <w:p w14:paraId="2CBBE28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1磋商小组验证各供应商代表或委托授权人的身份。供应商代表或委托授权人身份与响应文件不符的、响应文件未按要求加盖印章和签字的，磋商小组将拒绝该供应商参加磋商。</w:t>
      </w:r>
    </w:p>
    <w:p w14:paraId="6819073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17</w:t>
      </w:r>
      <w:r>
        <w:rPr>
          <w:rFonts w:ascii="宋体" w:hAnsi="宋体"/>
          <w:color w:val="auto"/>
          <w:sz w:val="24"/>
          <w:szCs w:val="24"/>
          <w:highlight w:val="none"/>
        </w:rPr>
        <w:t>.</w:t>
      </w:r>
      <w:r>
        <w:rPr>
          <w:rFonts w:ascii="Times New Roman" w:hAnsi="Times New Roman"/>
          <w:bCs/>
          <w:color w:val="auto"/>
          <w:sz w:val="24"/>
          <w:szCs w:val="24"/>
          <w:highlight w:val="none"/>
        </w:rPr>
        <w:t>2磋商小组根据磋商文件规定对供应商响应文件的有效性、完整性和响应程度进行审查。审查内容包括供应商资格条件、实质性响应的情况等。未实质性响应磋商文件的响应文件</w:t>
      </w:r>
      <w:r>
        <w:rPr>
          <w:rFonts w:ascii="Times New Roman" w:hAnsi="Times New Roman"/>
          <w:b/>
          <w:bCs w:val="0"/>
          <w:color w:val="auto"/>
          <w:sz w:val="24"/>
          <w:szCs w:val="24"/>
          <w:highlight w:val="none"/>
        </w:rPr>
        <w:t>按无效处理</w:t>
      </w:r>
      <w:r>
        <w:rPr>
          <w:rFonts w:ascii="Times New Roman" w:hAnsi="Times New Roman"/>
          <w:bCs/>
          <w:color w:val="auto"/>
          <w:sz w:val="24"/>
          <w:szCs w:val="24"/>
          <w:highlight w:val="none"/>
        </w:rPr>
        <w:t>，并告知有关供应商。具体评审内容见本章第3条。</w:t>
      </w:r>
    </w:p>
    <w:p w14:paraId="3EE59F8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第一轮磋商</w:t>
      </w:r>
    </w:p>
    <w:p w14:paraId="747787B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1磋商小组将按照随机抽签的顺序决定供应商的磋商顺序，并与单一供应商分别进行磋商。</w:t>
      </w:r>
    </w:p>
    <w:p w14:paraId="2319B7F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2磋商小组对照磋商文件与供应商的响应文件分别就采购需求、质量和服务等进行磋商，并了解其报价组成情况。磋商中，磋商的任何一方不得透露与竞争性磋商有关的其他供应商的技术资料、价格和其他信息。</w:t>
      </w:r>
    </w:p>
    <w:p w14:paraId="1A00337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3响应文件的澄清和说明</w:t>
      </w:r>
    </w:p>
    <w:p w14:paraId="69E9EC4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磋商小组可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0877FE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2）磋商小组要求供应商澄清、说明或者更正响应文件应以书面形式作出。供应商的澄清、说明或者更正应当由法定代表人或其授权代表签字或者加盖印章。供应商为自然人的，应当由本人签字并附身份证明。</w:t>
      </w:r>
    </w:p>
    <w:p w14:paraId="79B1FBB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3）供应商可以对参加竞争性磋商项目的采购需求提出优化建议，并以书面提交磋商小组。</w:t>
      </w:r>
    </w:p>
    <w:p w14:paraId="14CD180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4磋商小组按磋商文件设定的方法和标准确定供应商符合磋商文件要求的，该供应商即为合格的供应商。</w:t>
      </w:r>
    </w:p>
    <w:p w14:paraId="2D28506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5第一轮磋商后，合格的供应商超过三家的，磋商小组可根据采购项目的特点、采购人的实际需求及与各供应商的磋商情况对磋商文件作出实质性变动，并进行下一轮竞争性磋商，或直接进入最后报价。变动后的磋商文件至少有3家供应商满足。</w:t>
      </w:r>
    </w:p>
    <w:p w14:paraId="6C62AD9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18</w:t>
      </w:r>
      <w:r>
        <w:rPr>
          <w:rFonts w:ascii="宋体" w:hAnsi="宋体"/>
          <w:color w:val="auto"/>
          <w:sz w:val="24"/>
          <w:szCs w:val="24"/>
          <w:highlight w:val="none"/>
        </w:rPr>
        <w:t>.</w:t>
      </w:r>
      <w:r>
        <w:rPr>
          <w:rFonts w:ascii="Times New Roman" w:hAnsi="Times New Roman"/>
          <w:bCs/>
          <w:color w:val="auto"/>
          <w:sz w:val="24"/>
          <w:szCs w:val="24"/>
          <w:highlight w:val="none"/>
        </w:rPr>
        <w:t>6合格的供应商不足三家的，磋商小组、采购人在调整采购需求中的技术、服务要求以及合同草案条款后进行下一轮磋商。否则，本次磋商终止。</w:t>
      </w:r>
    </w:p>
    <w:p w14:paraId="473FC800">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磋商文件修正</w:t>
      </w:r>
    </w:p>
    <w:p w14:paraId="3FAC996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1磋商小组可根据磋商文件和磋商情况实质性变动采购需求中的技术、服务要求以及合同草案条款，但不得变动磋商文件中的其他内容。对磋商文件作出的实质性变动是磋商文件的有效组成部分。</w:t>
      </w:r>
    </w:p>
    <w:p w14:paraId="092C551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2磋商小组将磋商文件的修改结果以书面形式通知参加磋商的供应商。</w:t>
      </w:r>
    </w:p>
    <w:p w14:paraId="13C4552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3供应商根据第一轮磋商情况和磋商文件修改书面通知，对原响应文件进行修正，并将修正文件签字（或盖章）后密封送交磋商小组。逾时不交的，视同放弃磋商。修正文件与响应文件同具法律效应。</w:t>
      </w:r>
    </w:p>
    <w:p w14:paraId="79EF03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19</w:t>
      </w:r>
      <w:r>
        <w:rPr>
          <w:rFonts w:ascii="宋体" w:hAnsi="宋体"/>
          <w:color w:val="auto"/>
          <w:sz w:val="24"/>
          <w:szCs w:val="24"/>
          <w:highlight w:val="none"/>
        </w:rPr>
        <w:t>.</w:t>
      </w:r>
      <w:r>
        <w:rPr>
          <w:rFonts w:ascii="Times New Roman" w:hAnsi="Times New Roman"/>
          <w:bCs/>
          <w:color w:val="auto"/>
          <w:sz w:val="24"/>
          <w:szCs w:val="24"/>
          <w:highlight w:val="none"/>
        </w:rPr>
        <w:t>4对无法详细描述需求，需要供应商提供设计或者解决方案的项目，磋商小组可以根据采购人对需求确认情况，进行多轮磋商，直至采购人代表最终确认采购需求为止。</w:t>
      </w:r>
    </w:p>
    <w:p w14:paraId="51FC11DE">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第二轮磋商</w:t>
      </w:r>
    </w:p>
    <w:p w14:paraId="3B1BF80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1磋商小组就修正后的磋商文件与供应商分别进行磋商。</w:t>
      </w:r>
    </w:p>
    <w:p w14:paraId="29E14BD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20</w:t>
      </w:r>
      <w:r>
        <w:rPr>
          <w:rFonts w:ascii="宋体" w:hAnsi="宋体"/>
          <w:color w:val="auto"/>
          <w:sz w:val="24"/>
          <w:szCs w:val="24"/>
          <w:highlight w:val="none"/>
        </w:rPr>
        <w:t>.</w:t>
      </w:r>
      <w:r>
        <w:rPr>
          <w:rFonts w:ascii="Times New Roman" w:hAnsi="Times New Roman"/>
          <w:bCs/>
          <w:color w:val="auto"/>
          <w:sz w:val="24"/>
          <w:szCs w:val="24"/>
          <w:highlight w:val="none"/>
        </w:rPr>
        <w:t>2第二轮磋商结束后，实质性响应磋商文件及变动后磋商文件要求的供应商超过或不足三家的，按照上一轮磋商程序办理，以此类推。</w:t>
      </w:r>
    </w:p>
    <w:p w14:paraId="3ADEA6F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最后报价</w:t>
      </w:r>
    </w:p>
    <w:p w14:paraId="0B497CA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1磋商小组对磋商文件中能够详细列明采购标的的技术、服务要求的，在磋商结束后，所有继续参加磋商合格的供应商应在规定时间内提交最后报价。</w:t>
      </w:r>
    </w:p>
    <w:p w14:paraId="5CCC862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2磋商小组对磋商文件中不能详细描述和列明采购标的的技术、服务要求，需通过磋商由供应商提供最终设计方案或解决方案的，在磋商结束后，磋商小组按照少数服从多数的原则投票推荐3家以上合格供应商的设计方案或者解决方案，并要求其在规定时间内提交最后报价。</w:t>
      </w:r>
    </w:p>
    <w:p w14:paraId="153F17D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3供应商的报价均超过了政府采购预算或报价未超过采购预算的供应商不足三家的，磋商活动终止。</w:t>
      </w:r>
    </w:p>
    <w:p w14:paraId="438020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4最后报价文件应密封，并在规定的同一时间内提交。最后报价是供应商响应文件的有效组成部分。</w:t>
      </w:r>
    </w:p>
    <w:p w14:paraId="7E2D3F2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21</w:t>
      </w:r>
      <w:r>
        <w:rPr>
          <w:rFonts w:ascii="宋体" w:hAnsi="宋体"/>
          <w:color w:val="auto"/>
          <w:sz w:val="24"/>
          <w:szCs w:val="24"/>
          <w:highlight w:val="none"/>
        </w:rPr>
        <w:t>.</w:t>
      </w:r>
      <w:r>
        <w:rPr>
          <w:rFonts w:ascii="Times New Roman" w:hAnsi="Times New Roman"/>
          <w:bCs/>
          <w:color w:val="auto"/>
          <w:sz w:val="24"/>
          <w:szCs w:val="24"/>
          <w:highlight w:val="none"/>
        </w:rPr>
        <w:t>5在提交最后报价之前，供应商可以根据磋商情况退出磋商。</w:t>
      </w:r>
    </w:p>
    <w:p w14:paraId="529E7F97">
      <w:pPr>
        <w:pStyle w:val="25"/>
        <w:pageBreakBefore w:val="0"/>
        <w:kinsoku/>
        <w:overflowPunct/>
        <w:topLinePunct w:val="0"/>
        <w:bidi w:val="0"/>
        <w:spacing w:line="360" w:lineRule="auto"/>
        <w:ind w:firstLine="480" w:firstLineChars="200"/>
        <w:rPr>
          <w:rFonts w:hint="default" w:ascii="Times New Roman" w:hAnsi="Times New Roman" w:eastAsia="宋体" w:cs="Times New Roman"/>
          <w:bCs/>
          <w:color w:val="auto"/>
          <w:kern w:val="2"/>
          <w:sz w:val="24"/>
          <w:szCs w:val="24"/>
          <w:highlight w:val="none"/>
          <w:lang w:val="en-US" w:eastAsia="zh-CN" w:bidi="ar-SA"/>
        </w:rPr>
      </w:pPr>
      <w:r>
        <w:rPr>
          <w:rFonts w:hint="eastAsia"/>
          <w:bCs/>
          <w:color w:val="auto"/>
          <w:sz w:val="24"/>
          <w:szCs w:val="24"/>
          <w:highlight w:val="none"/>
          <w:lang w:val="en-US" w:eastAsia="zh-CN"/>
        </w:rPr>
        <w:t>21.6 磋</w:t>
      </w:r>
      <w:r>
        <w:rPr>
          <w:rFonts w:hint="eastAsia" w:ascii="Times New Roman" w:hAnsi="Times New Roman" w:eastAsia="宋体" w:cs="Times New Roman"/>
          <w:bCs/>
          <w:color w:val="auto"/>
          <w:kern w:val="2"/>
          <w:sz w:val="24"/>
          <w:szCs w:val="24"/>
          <w:highlight w:val="none"/>
          <w:lang w:val="en-US" w:eastAsia="zh-CN" w:bidi="ar-SA"/>
        </w:rPr>
        <w:t>商小组认为供应商的报价明显低于其他供应商的报价的，有可能影响工程质量或者不能诚信履约的，应当要求其在磋商合理的时间内提供书面说明，必要时提交相关证明材料；供应商不能证明其报价合理性的，磋商小组应当将其作为无效报价处理。</w:t>
      </w:r>
    </w:p>
    <w:p w14:paraId="4149BD0D">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综合评议</w:t>
      </w:r>
    </w:p>
    <w:p w14:paraId="0296FBA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1磋商小组将按照磋商文件确定的评审办法对各供应商的响应文件进行商务服务评议和价格评议。</w:t>
      </w:r>
    </w:p>
    <w:p w14:paraId="2DD8327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22</w:t>
      </w:r>
      <w:r>
        <w:rPr>
          <w:rFonts w:ascii="宋体" w:hAnsi="宋体"/>
          <w:color w:val="auto"/>
          <w:sz w:val="24"/>
          <w:szCs w:val="24"/>
          <w:highlight w:val="none"/>
        </w:rPr>
        <w:t>.</w:t>
      </w:r>
      <w:r>
        <w:rPr>
          <w:rFonts w:ascii="Times New Roman" w:hAnsi="Times New Roman"/>
          <w:bCs/>
          <w:color w:val="auto"/>
          <w:sz w:val="24"/>
          <w:szCs w:val="24"/>
          <w:highlight w:val="none"/>
        </w:rPr>
        <w:t>2评审采用综合评分法，具体见“第四章评审办法及评审标准”。</w:t>
      </w:r>
    </w:p>
    <w:p w14:paraId="690DE6C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非专门面向中小企业、监狱企业或残疾人福利性单位采购项目价格评议</w:t>
      </w:r>
    </w:p>
    <w:p w14:paraId="6EF49CB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1小型和微型企业、监狱企业或残疾人福利性单位参加非专门面向中小企业、监狱企业或残疾人福利性单位采购项目，提供本企业制造的产品、承担的工程或者服务，或者提供其他小型和微型企业、监狱企业或残疾人福利性单位制造的产品参加谈判的，给予《磋商须知前附表》确定比例进行价格扣除，用扣除后的价格参与评审。本项所称产品不包括使用大型企业注册商标的产品、使用非残疾人福利性单位注册商标的货物或非监狱企业生产的货物。</w:t>
      </w:r>
    </w:p>
    <w:p w14:paraId="61CC24B3">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2提供本企业制造的产品、承担的工程或者服务的供应商，应出具《中小企业声明函》、《残疾人福利性单位声明函》或属于监狱企业的证明文件等原件。提供其他小型和微型企业、监狱企业或残疾人福利性单位制造的产品的，应出具所提供产品制造企业的《中小企业声明函》、《残疾人福利性单位声明函》或属于监狱企业的证明文件等原件，否则，不给予价格扣除。</w:t>
      </w:r>
    </w:p>
    <w:p w14:paraId="4EABDFC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3对小型、微型企业与大中型企业和其他自然人、法人或者其他组织组成联合体共同参加非专门面向中小企业的政府采购活动，联合协议中小型、微型企业的协议合同金额占协议合同总金额30%以上的，给予联合体《磋商须知前附表》确定比例进行价格扣除。联合体各方均为小型、微型企业的，给予联合体按《磋商须知前附表》确定比例进行价格扣除。</w:t>
      </w:r>
    </w:p>
    <w:p w14:paraId="1A91F824">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23</w:t>
      </w:r>
      <w:r>
        <w:rPr>
          <w:rFonts w:ascii="宋体" w:hAnsi="宋体"/>
          <w:color w:val="auto"/>
          <w:sz w:val="24"/>
          <w:szCs w:val="24"/>
          <w:highlight w:val="none"/>
        </w:rPr>
        <w:t>.</w:t>
      </w:r>
      <w:r>
        <w:rPr>
          <w:rFonts w:ascii="Times New Roman" w:hAnsi="Times New Roman"/>
          <w:bCs/>
          <w:color w:val="auto"/>
          <w:sz w:val="24"/>
          <w:szCs w:val="24"/>
          <w:highlight w:val="none"/>
        </w:rPr>
        <w:t>4对于未按规定提供《中小企业声明函》、《残疾人福利性单位声明函》或属于监狱企业的证明文件等原件，或声明函内容不能说明所提供产品、承担的工程或者服务的企业属于小型和微型企业、监狱企业或残疾人福利性单位的，不给予价格扣除。残疾人福利性单位属于小型、微型企业的，不重复享受政策。</w:t>
      </w:r>
    </w:p>
    <w:p w14:paraId="5864EB0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价格分采用低价优先法计算，即满足磋商文件要求且最后报价最低的供应商的价格为磋商基准价，其价格分为满分。其他供应商的价格分计算公式：磋商报价得分=（磋商基准价/最后磋商报价）×价格权值×100。</w:t>
      </w:r>
    </w:p>
    <w:p w14:paraId="67E2FC02">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24</w:t>
      </w:r>
      <w:r>
        <w:rPr>
          <w:rFonts w:ascii="宋体" w:hAnsi="宋体"/>
          <w:color w:val="auto"/>
          <w:sz w:val="24"/>
          <w:szCs w:val="24"/>
          <w:highlight w:val="none"/>
        </w:rPr>
        <w:t>.</w:t>
      </w:r>
      <w:r>
        <w:rPr>
          <w:rFonts w:ascii="Times New Roman" w:hAnsi="Times New Roman"/>
          <w:bCs/>
          <w:color w:val="auto"/>
          <w:sz w:val="24"/>
          <w:szCs w:val="24"/>
          <w:highlight w:val="none"/>
        </w:rPr>
        <w:t>1算术错误将按以下方法更正：若单价计算的结果与总价不一致，以单价为准修改总价；单价金额小数点有明显错位的，以总价为准并修改单价；若大写金额与小写金额不一致，以大写金额为准。如果供应商不接受对其错误的更正，其响应文件将被拒绝。</w:t>
      </w:r>
    </w:p>
    <w:p w14:paraId="76E478BF">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25</w:t>
      </w:r>
      <w:r>
        <w:rPr>
          <w:rFonts w:ascii="宋体" w:hAnsi="宋体"/>
          <w:color w:val="auto"/>
          <w:sz w:val="24"/>
          <w:szCs w:val="24"/>
          <w:highlight w:val="none"/>
        </w:rPr>
        <w:t>.</w:t>
      </w:r>
      <w:r>
        <w:rPr>
          <w:rFonts w:ascii="Times New Roman" w:hAnsi="Times New Roman"/>
          <w:bCs/>
          <w:color w:val="auto"/>
          <w:sz w:val="24"/>
          <w:szCs w:val="24"/>
          <w:highlight w:val="none"/>
        </w:rPr>
        <w:t>磋商小组决定响应文件的响应性只根据响应文件本身的真实无误的内容，而不依据外部的证据，但响应文件有不真实不正确的内容时除外。</w:t>
      </w:r>
    </w:p>
    <w:p w14:paraId="1B825332">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八、确定成交供应商</w:t>
      </w:r>
    </w:p>
    <w:p w14:paraId="6C60C391">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26</w:t>
      </w:r>
      <w:r>
        <w:rPr>
          <w:rFonts w:ascii="宋体" w:hAnsi="宋体"/>
          <w:color w:val="auto"/>
          <w:sz w:val="24"/>
          <w:szCs w:val="24"/>
          <w:highlight w:val="none"/>
        </w:rPr>
        <w:t>.</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5DA13428">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27</w:t>
      </w:r>
      <w:r>
        <w:rPr>
          <w:rFonts w:ascii="宋体" w:hAnsi="宋体"/>
          <w:color w:val="auto"/>
          <w:sz w:val="24"/>
          <w:szCs w:val="24"/>
          <w:highlight w:val="none"/>
        </w:rPr>
        <w:t>.</w:t>
      </w:r>
      <w:r>
        <w:rPr>
          <w:rFonts w:ascii="Times New Roman" w:hAnsi="Times New Roman"/>
          <w:bCs/>
          <w:color w:val="auto"/>
          <w:sz w:val="24"/>
          <w:szCs w:val="24"/>
          <w:highlight w:val="none"/>
        </w:rPr>
        <w:t>采购人从评审报告提出的成交候选供应商中，按照排序由高到低的原则确定成交供应商。</w:t>
      </w:r>
    </w:p>
    <w:p w14:paraId="2351215D">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九、成交公告和质疑</w:t>
      </w:r>
    </w:p>
    <w:p w14:paraId="52B1D88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28</w:t>
      </w:r>
      <w:r>
        <w:rPr>
          <w:rFonts w:ascii="宋体" w:hAnsi="宋体"/>
          <w:color w:val="auto"/>
          <w:sz w:val="24"/>
          <w:szCs w:val="24"/>
          <w:highlight w:val="none"/>
        </w:rPr>
        <w:t>.</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机构在成交供应商确定后，在财政部门指定的媒体上公告成交结果，同时向成交供应商发出成交通知书。公告期为一个工作日。</w:t>
      </w:r>
    </w:p>
    <w:p w14:paraId="1176C4C6">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29</w:t>
      </w:r>
      <w:r>
        <w:rPr>
          <w:rFonts w:ascii="宋体" w:hAnsi="宋体"/>
          <w:color w:val="auto"/>
          <w:sz w:val="24"/>
          <w:szCs w:val="24"/>
          <w:highlight w:val="none"/>
        </w:rPr>
        <w:t>.</w:t>
      </w:r>
      <w:r>
        <w:rPr>
          <w:rFonts w:ascii="Times New Roman" w:hAnsi="Times New Roman"/>
          <w:bCs/>
          <w:color w:val="auto"/>
          <w:sz w:val="24"/>
          <w:szCs w:val="24"/>
          <w:highlight w:val="none"/>
        </w:rPr>
        <w:t>相关供应商对成交结果、磋商过程有询问或质疑的，可在公告期届满之日起七个工作日内，依据政府采购相关规定，向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机构提出询问或质疑，</w:t>
      </w:r>
      <w:r>
        <w:rPr>
          <w:rFonts w:hint="eastAsia" w:ascii="Times New Roman" w:hAnsi="Times New Roman"/>
          <w:bCs/>
          <w:color w:val="auto"/>
          <w:sz w:val="24"/>
          <w:szCs w:val="24"/>
          <w:highlight w:val="none"/>
          <w:lang w:eastAsia="zh-CN"/>
        </w:rPr>
        <w:t>分散采购</w:t>
      </w:r>
      <w:r>
        <w:rPr>
          <w:rFonts w:ascii="Times New Roman" w:hAnsi="Times New Roman"/>
          <w:bCs/>
          <w:color w:val="auto"/>
          <w:sz w:val="24"/>
          <w:szCs w:val="24"/>
          <w:highlight w:val="none"/>
        </w:rPr>
        <w:t>机构将按政府采购询问或质疑程序处理。质疑书应当包括下列主要内容：</w:t>
      </w:r>
    </w:p>
    <w:p w14:paraId="3B9BBAC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1质疑人的名称、地址、电话及联系人（法人或负责人授权代表）等；</w:t>
      </w:r>
    </w:p>
    <w:p w14:paraId="2B28B6DD">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2质疑人法人（负责人）签章和单位公章；</w:t>
      </w:r>
    </w:p>
    <w:p w14:paraId="15FA400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3具体的质疑事项及事实依据；</w:t>
      </w:r>
    </w:p>
    <w:p w14:paraId="0DAF18D9">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4明确的请求和必要的证明材料；</w:t>
      </w:r>
    </w:p>
    <w:p w14:paraId="60EFCEF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5以联合体形式参与磋商的，则必须联合体各方共同签署、盖章；</w:t>
      </w:r>
    </w:p>
    <w:p w14:paraId="35C7A75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29</w:t>
      </w:r>
      <w:r>
        <w:rPr>
          <w:rFonts w:ascii="宋体" w:hAnsi="宋体"/>
          <w:color w:val="auto"/>
          <w:sz w:val="24"/>
          <w:szCs w:val="24"/>
          <w:highlight w:val="none"/>
        </w:rPr>
        <w:t>.</w:t>
      </w:r>
      <w:r>
        <w:rPr>
          <w:rFonts w:ascii="Times New Roman" w:hAnsi="Times New Roman"/>
          <w:color w:val="auto"/>
          <w:sz w:val="24"/>
          <w:szCs w:val="24"/>
          <w:highlight w:val="none"/>
        </w:rPr>
        <w:t>6提起质疑的日期。</w:t>
      </w:r>
    </w:p>
    <w:p w14:paraId="2798A12E">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十、签订合同</w:t>
      </w:r>
    </w:p>
    <w:p w14:paraId="3A744D2A">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30</w:t>
      </w:r>
      <w:r>
        <w:rPr>
          <w:rFonts w:ascii="宋体" w:hAnsi="宋体"/>
          <w:color w:val="auto"/>
          <w:sz w:val="24"/>
          <w:szCs w:val="24"/>
          <w:highlight w:val="none"/>
        </w:rPr>
        <w:t>.</w:t>
      </w:r>
      <w:r>
        <w:rPr>
          <w:rFonts w:ascii="Times New Roman" w:hAnsi="Times New Roman"/>
          <w:bCs/>
          <w:color w:val="auto"/>
          <w:sz w:val="24"/>
          <w:szCs w:val="24"/>
          <w:highlight w:val="none"/>
        </w:rPr>
        <w:t>成交供应商在收到成交通知书后，三十日内与采购人签订供货（服务）合同。</w:t>
      </w:r>
    </w:p>
    <w:p w14:paraId="4DCFC9EC">
      <w:pPr>
        <w:pageBreakBefore w:val="0"/>
        <w:kinsoku/>
        <w:overflowPunct/>
        <w:topLinePunct w:val="0"/>
        <w:bidi w:val="0"/>
        <w:spacing w:line="360" w:lineRule="auto"/>
        <w:ind w:firstLine="480" w:firstLineChars="200"/>
        <w:rPr>
          <w:rFonts w:ascii="Times New Roman" w:hAnsi="Times New Roman" w:eastAsia="黑体"/>
          <w:color w:val="auto"/>
          <w:sz w:val="24"/>
          <w:szCs w:val="24"/>
          <w:highlight w:val="none"/>
        </w:rPr>
      </w:pPr>
      <w:r>
        <w:rPr>
          <w:rFonts w:ascii="Times New Roman" w:hAnsi="Times New Roman" w:eastAsia="黑体"/>
          <w:color w:val="auto"/>
          <w:sz w:val="24"/>
          <w:szCs w:val="24"/>
          <w:highlight w:val="none"/>
        </w:rPr>
        <w:t>十一、付款方式</w:t>
      </w:r>
    </w:p>
    <w:p w14:paraId="105484C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31</w:t>
      </w:r>
      <w:r>
        <w:rPr>
          <w:rFonts w:ascii="宋体" w:hAnsi="宋体"/>
          <w:color w:val="auto"/>
          <w:sz w:val="24"/>
          <w:szCs w:val="24"/>
          <w:highlight w:val="none"/>
        </w:rPr>
        <w:t>.</w:t>
      </w:r>
      <w:r>
        <w:rPr>
          <w:rFonts w:ascii="Times New Roman" w:hAnsi="Times New Roman"/>
          <w:bCs/>
          <w:color w:val="auto"/>
          <w:sz w:val="24"/>
          <w:szCs w:val="24"/>
          <w:highlight w:val="none"/>
        </w:rPr>
        <w:t>货物（服务）交付验收合格后，采购人报省财政厅办理相应金额的支付手续。</w:t>
      </w:r>
    </w:p>
    <w:p w14:paraId="31FF4B68">
      <w:pPr>
        <w:pageBreakBefore w:val="0"/>
        <w:kinsoku/>
        <w:overflowPunct/>
        <w:topLinePunct w:val="0"/>
        <w:bidi w:val="0"/>
        <w:spacing w:line="360" w:lineRule="auto"/>
        <w:ind w:firstLine="480" w:firstLineChars="200"/>
        <w:rPr>
          <w:rFonts w:ascii="Times New Roman" w:hAnsi="Times New Roman" w:eastAsia="黑体"/>
          <w:bCs/>
          <w:color w:val="auto"/>
          <w:sz w:val="24"/>
          <w:szCs w:val="24"/>
          <w:highlight w:val="none"/>
        </w:rPr>
      </w:pPr>
      <w:r>
        <w:rPr>
          <w:rFonts w:ascii="Times New Roman" w:hAnsi="Times New Roman" w:eastAsia="黑体"/>
          <w:bCs/>
          <w:color w:val="auto"/>
          <w:sz w:val="24"/>
          <w:szCs w:val="24"/>
          <w:highlight w:val="none"/>
        </w:rPr>
        <w:t>十二、适用法律</w:t>
      </w:r>
    </w:p>
    <w:p w14:paraId="7D5FBFB0">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bCs/>
          <w:color w:val="auto"/>
          <w:sz w:val="24"/>
          <w:szCs w:val="24"/>
          <w:highlight w:val="none"/>
        </w:rPr>
        <w:t>32</w:t>
      </w:r>
      <w:r>
        <w:rPr>
          <w:rFonts w:ascii="宋体" w:hAnsi="宋体"/>
          <w:color w:val="auto"/>
          <w:sz w:val="24"/>
          <w:szCs w:val="24"/>
          <w:highlight w:val="none"/>
        </w:rPr>
        <w:t>.</w:t>
      </w:r>
      <w:r>
        <w:rPr>
          <w:rFonts w:ascii="Times New Roman" w:hAnsi="Times New Roman"/>
          <w:bCs/>
          <w:color w:val="auto"/>
          <w:sz w:val="24"/>
          <w:szCs w:val="24"/>
          <w:highlight w:val="none"/>
        </w:rPr>
        <w:t>采购当事人的一切活动均适用于《中华人民共和国政府采购法》、《中华人民共和国政府采购法实施条例》、《政府采购非招标采购方式管理办法》、《政府采购竞争性磋商采购方式管理暂行办法》及相关法规。</w:t>
      </w:r>
    </w:p>
    <w:p w14:paraId="2B179937">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C417F4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51C1801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69C0A240">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33609371">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09D69DB">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61C9ABBA">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5A6CC3E1">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AFF5D0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E359BFF">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31A728E">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4A9EF8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27947E65">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1BE6CB50">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79077C3B">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0C33BC6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423B942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p>
    <w:p w14:paraId="105BD5AA">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lang w:val="hr-HR" w:bidi="ar-EG"/>
        </w:rPr>
      </w:pPr>
      <w:r>
        <w:rPr>
          <w:rFonts w:ascii="Times New Roman" w:hAnsi="Times New Roman" w:eastAsia="方正小标宋简体"/>
          <w:color w:val="auto"/>
          <w:sz w:val="40"/>
          <w:szCs w:val="40"/>
          <w:highlight w:val="none"/>
          <w:lang w:val="hr-HR" w:bidi="ar-EG"/>
        </w:rPr>
        <w:t>第三章</w:t>
      </w:r>
      <w:r>
        <w:rPr>
          <w:rFonts w:hint="eastAsia" w:ascii="Times New Roman" w:hAnsi="Times New Roman" w:eastAsia="方正小标宋简体"/>
          <w:color w:val="auto"/>
          <w:sz w:val="40"/>
          <w:szCs w:val="40"/>
          <w:highlight w:val="none"/>
          <w:lang w:val="hr-HR" w:bidi="ar-EG"/>
        </w:rPr>
        <w:t xml:space="preserve">  </w:t>
      </w:r>
      <w:r>
        <w:rPr>
          <w:rFonts w:ascii="Times New Roman" w:hAnsi="Times New Roman" w:eastAsia="方正小标宋简体"/>
          <w:color w:val="auto"/>
          <w:sz w:val="40"/>
          <w:szCs w:val="40"/>
          <w:highlight w:val="none"/>
          <w:lang w:val="hr-HR" w:bidi="ar-EG"/>
        </w:rPr>
        <w:t>采购</w:t>
      </w:r>
      <w:r>
        <w:rPr>
          <w:rFonts w:ascii="Times New Roman" w:hAnsi="Times New Roman" w:eastAsia="方正小标宋简体"/>
          <w:color w:val="auto"/>
          <w:sz w:val="40"/>
          <w:szCs w:val="40"/>
          <w:highlight w:val="none"/>
        </w:rPr>
        <w:t>货物（服务）技术参数、规格及要求</w:t>
      </w:r>
    </w:p>
    <w:p w14:paraId="6DE3C3EE">
      <w:pPr>
        <w:pageBreakBefore w:val="0"/>
        <w:kinsoku/>
        <w:overflowPunct/>
        <w:topLinePunct w:val="0"/>
        <w:bidi w:val="0"/>
        <w:spacing w:line="360" w:lineRule="auto"/>
        <w:rPr>
          <w:rFonts w:ascii="宋体" w:hAnsi="宋体"/>
          <w:color w:val="auto"/>
          <w:szCs w:val="21"/>
          <w:highlight w:val="none"/>
          <w:lang w:val="zh-CN"/>
        </w:rPr>
      </w:pPr>
      <w:bookmarkStart w:id="0" w:name="_Toc338065594"/>
      <w:bookmarkStart w:id="1" w:name="_Toc339378680"/>
    </w:p>
    <w:bookmarkEnd w:id="0"/>
    <w:bookmarkEnd w:id="1"/>
    <w:p w14:paraId="67A55B20">
      <w:pPr>
        <w:keepNext/>
        <w:keepLines/>
        <w:pageBreakBefore w:val="0"/>
        <w:kinsoku/>
        <w:overflowPunct/>
        <w:topLinePunct w:val="0"/>
        <w:bidi w:val="0"/>
        <w:spacing w:line="360" w:lineRule="auto"/>
        <w:jc w:val="left"/>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一、项目采购清单：</w:t>
      </w:r>
    </w:p>
    <w:tbl>
      <w:tblPr>
        <w:tblStyle w:val="3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3"/>
        <w:gridCol w:w="5327"/>
        <w:gridCol w:w="817"/>
        <w:gridCol w:w="1025"/>
        <w:gridCol w:w="990"/>
      </w:tblGrid>
      <w:tr w14:paraId="13DE1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33E04527">
            <w:pPr>
              <w:pageBreakBefore w:val="0"/>
              <w:kinsoku/>
              <w:overflowPunct/>
              <w:topLinePunct w:val="0"/>
              <w:bidi w:val="0"/>
              <w:spacing w:line="360" w:lineRule="auto"/>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序号</w:t>
            </w:r>
          </w:p>
        </w:tc>
        <w:tc>
          <w:tcPr>
            <w:tcW w:w="2869" w:type="pct"/>
            <w:vAlign w:val="center"/>
          </w:tcPr>
          <w:p w14:paraId="4963A03C">
            <w:pPr>
              <w:pageBreakBefore w:val="0"/>
              <w:kinsoku/>
              <w:overflowPunct/>
              <w:topLinePunct w:val="0"/>
              <w:bidi w:val="0"/>
              <w:spacing w:line="360" w:lineRule="auto"/>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名称</w:t>
            </w:r>
          </w:p>
        </w:tc>
        <w:tc>
          <w:tcPr>
            <w:tcW w:w="440" w:type="pct"/>
            <w:vAlign w:val="center"/>
          </w:tcPr>
          <w:p w14:paraId="55795B4B">
            <w:pPr>
              <w:pageBreakBefore w:val="0"/>
              <w:kinsoku/>
              <w:overflowPunct/>
              <w:topLinePunct w:val="0"/>
              <w:bidi w:val="0"/>
              <w:spacing w:line="360" w:lineRule="auto"/>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单位</w:t>
            </w:r>
          </w:p>
        </w:tc>
        <w:tc>
          <w:tcPr>
            <w:tcW w:w="552" w:type="pct"/>
            <w:vAlign w:val="center"/>
          </w:tcPr>
          <w:p w14:paraId="73030FF4">
            <w:pPr>
              <w:pageBreakBefore w:val="0"/>
              <w:kinsoku/>
              <w:overflowPunct/>
              <w:topLinePunct w:val="0"/>
              <w:bidi w:val="0"/>
              <w:spacing w:line="360" w:lineRule="auto"/>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数量</w:t>
            </w:r>
          </w:p>
        </w:tc>
        <w:tc>
          <w:tcPr>
            <w:tcW w:w="532" w:type="pct"/>
            <w:vAlign w:val="center"/>
          </w:tcPr>
          <w:p w14:paraId="741503C7">
            <w:pPr>
              <w:pageBreakBefore w:val="0"/>
              <w:kinsoku/>
              <w:overflowPunct/>
              <w:topLinePunct w:val="0"/>
              <w:bidi w:val="0"/>
              <w:spacing w:line="360" w:lineRule="auto"/>
              <w:jc w:val="center"/>
              <w:rPr>
                <w:rFonts w:hint="eastAsia" w:ascii="宋体" w:hAnsi="宋体" w:eastAsia="宋体" w:cs="宋体"/>
                <w:bCs/>
                <w:color w:val="auto"/>
                <w:sz w:val="24"/>
                <w:szCs w:val="24"/>
                <w:lang w:bidi="ar-EG"/>
              </w:rPr>
            </w:pPr>
            <w:r>
              <w:rPr>
                <w:rFonts w:hint="eastAsia" w:ascii="宋体" w:hAnsi="宋体" w:eastAsia="宋体" w:cs="宋体"/>
                <w:bCs/>
                <w:color w:val="auto"/>
                <w:sz w:val="24"/>
                <w:szCs w:val="24"/>
                <w:lang w:bidi="ar-EG"/>
              </w:rPr>
              <w:t>备注</w:t>
            </w:r>
          </w:p>
        </w:tc>
      </w:tr>
      <w:tr w14:paraId="393A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766700AD">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1</w:t>
            </w:r>
          </w:p>
        </w:tc>
        <w:tc>
          <w:tcPr>
            <w:tcW w:w="2869" w:type="pct"/>
            <w:vAlign w:val="center"/>
          </w:tcPr>
          <w:p w14:paraId="7CB773B2">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污水处理站全责运营服务</w:t>
            </w:r>
          </w:p>
        </w:tc>
        <w:tc>
          <w:tcPr>
            <w:tcW w:w="440" w:type="pct"/>
            <w:vAlign w:val="center"/>
          </w:tcPr>
          <w:p w14:paraId="6F7135F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6462A333">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5256C1DB">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65A93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4D492DD2">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2</w:t>
            </w:r>
          </w:p>
        </w:tc>
        <w:tc>
          <w:tcPr>
            <w:tcW w:w="2869" w:type="pct"/>
            <w:vAlign w:val="center"/>
          </w:tcPr>
          <w:p w14:paraId="726F904A">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在线监测系统全责运维服务</w:t>
            </w:r>
          </w:p>
        </w:tc>
        <w:tc>
          <w:tcPr>
            <w:tcW w:w="440" w:type="pct"/>
            <w:vAlign w:val="center"/>
          </w:tcPr>
          <w:p w14:paraId="49D4D5B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363D5FAC">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51976425">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3D3C9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327316D4">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3</w:t>
            </w:r>
          </w:p>
        </w:tc>
        <w:tc>
          <w:tcPr>
            <w:tcW w:w="2869" w:type="pct"/>
            <w:vAlign w:val="center"/>
          </w:tcPr>
          <w:p w14:paraId="56A1CC01">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排污许可证环境检测及网报全责综合服务</w:t>
            </w:r>
          </w:p>
        </w:tc>
        <w:tc>
          <w:tcPr>
            <w:tcW w:w="440" w:type="pct"/>
            <w:vAlign w:val="center"/>
          </w:tcPr>
          <w:p w14:paraId="23C716BD">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项</w:t>
            </w:r>
          </w:p>
        </w:tc>
        <w:tc>
          <w:tcPr>
            <w:tcW w:w="552" w:type="pct"/>
            <w:vAlign w:val="center"/>
          </w:tcPr>
          <w:p w14:paraId="57EE4016">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val="en-US" w:eastAsia="zh-CN" w:bidi="ar-EG"/>
              </w:rPr>
            </w:pPr>
            <w:r>
              <w:rPr>
                <w:rFonts w:hint="eastAsia" w:ascii="宋体" w:hAnsi="宋体" w:eastAsia="宋体" w:cs="宋体"/>
                <w:bCs/>
                <w:color w:val="auto"/>
                <w:sz w:val="24"/>
                <w:szCs w:val="24"/>
                <w:highlight w:val="none"/>
                <w:lang w:val="en-US" w:eastAsia="zh-CN" w:bidi="ar-EG"/>
              </w:rPr>
              <w:t>1</w:t>
            </w:r>
          </w:p>
        </w:tc>
        <w:tc>
          <w:tcPr>
            <w:tcW w:w="532" w:type="pct"/>
            <w:vAlign w:val="center"/>
          </w:tcPr>
          <w:p w14:paraId="0537D86E">
            <w:pPr>
              <w:pageBreakBefore w:val="0"/>
              <w:kinsoku/>
              <w:overflowPunct/>
              <w:topLinePunct w:val="0"/>
              <w:bidi w:val="0"/>
              <w:spacing w:line="360" w:lineRule="auto"/>
              <w:jc w:val="center"/>
              <w:rPr>
                <w:rFonts w:hint="eastAsia" w:ascii="宋体" w:hAnsi="宋体" w:eastAsia="宋体" w:cs="宋体"/>
                <w:bCs/>
                <w:color w:val="auto"/>
                <w:sz w:val="24"/>
                <w:szCs w:val="24"/>
                <w:highlight w:val="none"/>
                <w:lang w:bidi="ar-EG"/>
              </w:rPr>
            </w:pPr>
            <w:r>
              <w:rPr>
                <w:rFonts w:hint="eastAsia" w:ascii="宋体" w:hAnsi="宋体" w:eastAsia="宋体" w:cs="宋体"/>
                <w:bCs/>
                <w:color w:val="auto"/>
                <w:sz w:val="24"/>
                <w:szCs w:val="24"/>
                <w:highlight w:val="none"/>
                <w:lang w:bidi="ar-EG"/>
              </w:rPr>
              <w:t>服务</w:t>
            </w:r>
          </w:p>
        </w:tc>
      </w:tr>
      <w:tr w14:paraId="503E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05" w:type="pct"/>
            <w:vAlign w:val="center"/>
          </w:tcPr>
          <w:p w14:paraId="769BD5A4">
            <w:pPr>
              <w:pageBreakBefore w:val="0"/>
              <w:kinsoku/>
              <w:overflowPunct/>
              <w:topLinePunct w:val="0"/>
              <w:bidi w:val="0"/>
              <w:spacing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服务期</w:t>
            </w:r>
          </w:p>
        </w:tc>
        <w:tc>
          <w:tcPr>
            <w:tcW w:w="4394" w:type="pct"/>
            <w:gridSpan w:val="4"/>
            <w:vAlign w:val="center"/>
          </w:tcPr>
          <w:p w14:paraId="05EEED2F">
            <w:pPr>
              <w:pageBreakBefore w:val="0"/>
              <w:kinsoku/>
              <w:overflowPunct/>
              <w:topLinePunct w:val="0"/>
              <w:bidi w:val="0"/>
              <w:spacing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服务期1年，具体起止时间以合同签订为准。如果合作过程中出现成交供应商违约情况，医院可以即时中止合作。</w:t>
            </w:r>
          </w:p>
        </w:tc>
      </w:tr>
    </w:tbl>
    <w:p w14:paraId="65E5385E">
      <w:pPr>
        <w:pageBreakBefore w:val="0"/>
        <w:kinsoku/>
        <w:overflowPunct/>
        <w:topLinePunct w:val="0"/>
        <w:bidi w:val="0"/>
        <w:spacing w:line="360" w:lineRule="auto"/>
        <w:ind w:firstLine="241" w:firstLineChars="100"/>
        <w:rPr>
          <w:rFonts w:hint="eastAsia" w:ascii="宋体" w:hAnsi="宋体" w:eastAsia="宋体" w:cs="宋体"/>
          <w:b/>
          <w:bCs/>
          <w:color w:val="auto"/>
          <w:sz w:val="24"/>
          <w:szCs w:val="24"/>
          <w:lang w:val="en-US" w:eastAsia="zh-CN"/>
        </w:rPr>
      </w:pPr>
    </w:p>
    <w:p w14:paraId="7E004C40">
      <w:pPr>
        <w:pageBreakBefore w:val="0"/>
        <w:kinsoku/>
        <w:overflowPunct/>
        <w:topLinePunct w:val="0"/>
        <w:bidi w:val="0"/>
        <w:spacing w:line="360" w:lineRule="auto"/>
        <w:ind w:firstLine="241" w:firstLineChars="100"/>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二、</w:t>
      </w:r>
      <w:r>
        <w:rPr>
          <w:rFonts w:hint="eastAsia" w:ascii="宋体" w:hAnsi="宋体" w:eastAsia="宋体" w:cs="宋体"/>
          <w:b/>
          <w:bCs/>
          <w:color w:val="auto"/>
          <w:sz w:val="24"/>
          <w:szCs w:val="24"/>
        </w:rPr>
        <w:t>采购内容：</w:t>
      </w:r>
    </w:p>
    <w:p w14:paraId="5E919408">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洪湖市人民医院污水处理站设计处理能力为</w:t>
      </w:r>
      <w:r>
        <w:rPr>
          <w:rFonts w:hint="eastAsia" w:ascii="宋体" w:hAnsi="宋体" w:eastAsia="宋体" w:cs="宋体"/>
          <w:color w:val="auto"/>
          <w:sz w:val="24"/>
          <w:szCs w:val="24"/>
          <w:lang w:val="en-US" w:eastAsia="zh-CN"/>
        </w:rPr>
        <w:t>1000</w:t>
      </w:r>
      <w:r>
        <w:rPr>
          <w:rFonts w:hint="eastAsia" w:ascii="宋体" w:hAnsi="宋体" w:eastAsia="宋体" w:cs="宋体"/>
          <w:color w:val="auto"/>
          <w:sz w:val="24"/>
          <w:szCs w:val="24"/>
        </w:rPr>
        <w:t>t/d，目前实际运行处理污水在</w:t>
      </w:r>
      <w:r>
        <w:rPr>
          <w:rFonts w:hint="eastAsia" w:ascii="宋体" w:hAnsi="宋体" w:cs="宋体"/>
          <w:color w:val="auto"/>
          <w:sz w:val="24"/>
          <w:szCs w:val="24"/>
          <w:lang w:val="en-US" w:eastAsia="zh-CN"/>
        </w:rPr>
        <w:t>350</w:t>
      </w:r>
      <w:r>
        <w:rPr>
          <w:rFonts w:hint="eastAsia" w:ascii="宋体" w:hAnsi="宋体" w:eastAsia="宋体" w:cs="宋体"/>
          <w:color w:val="auto"/>
          <w:sz w:val="24"/>
          <w:szCs w:val="24"/>
        </w:rPr>
        <w:t>t/d左右，设有</w:t>
      </w:r>
      <w:r>
        <w:rPr>
          <w:rFonts w:hint="eastAsia" w:ascii="宋体" w:hAnsi="宋体" w:eastAsia="宋体" w:cs="宋体"/>
          <w:color w:val="auto"/>
          <w:sz w:val="24"/>
          <w:szCs w:val="24"/>
          <w:lang w:val="en-US" w:eastAsia="zh-CN"/>
        </w:rPr>
        <w:t>格栅井</w:t>
      </w:r>
      <w:r>
        <w:rPr>
          <w:rFonts w:hint="eastAsia" w:ascii="宋体" w:hAnsi="宋体" w:eastAsia="宋体" w:cs="宋体"/>
          <w:color w:val="auto"/>
          <w:sz w:val="24"/>
          <w:szCs w:val="24"/>
        </w:rPr>
        <w:t>、调节池、</w:t>
      </w:r>
      <w:r>
        <w:rPr>
          <w:rFonts w:hint="eastAsia" w:ascii="宋体" w:hAnsi="宋体" w:eastAsia="宋体" w:cs="宋体"/>
          <w:color w:val="auto"/>
          <w:sz w:val="24"/>
          <w:szCs w:val="24"/>
          <w:lang w:val="en-US" w:eastAsia="zh-CN"/>
        </w:rPr>
        <w:t>A/O</w:t>
      </w:r>
      <w:r>
        <w:rPr>
          <w:rFonts w:hint="eastAsia" w:ascii="宋体" w:hAnsi="宋体" w:eastAsia="宋体" w:cs="宋体"/>
          <w:color w:val="auto"/>
          <w:sz w:val="24"/>
          <w:szCs w:val="24"/>
        </w:rPr>
        <w:t>池、沉淀池、消毒池、污水水泵、罗茨鼓风机、配电系统、监控系统、污水处理站房、在线监测站房、在线监测设备（COD、氨氮、PH、悬浮物、流量计、余氯、数采仪）等，处理后的污水按《医疗机构水污染物排放标准》（GB18466-2005）中的预处理标准（表2）达标后排入城市污水管网。运营外包服务项目，具体服务内容包括：</w:t>
      </w:r>
    </w:p>
    <w:p w14:paraId="6A3DF297">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1、污水处理站全责运营服务。供应商全责承担污水站运营服务工作，保障污水处理站长期规范达标运行。污水站运营服务工作以污水收集管道末端（到污水站格栅</w:t>
      </w:r>
      <w:r>
        <w:rPr>
          <w:rFonts w:hint="eastAsia" w:ascii="宋体" w:hAnsi="宋体" w:eastAsia="宋体" w:cs="宋体"/>
          <w:color w:val="auto"/>
          <w:sz w:val="24"/>
          <w:szCs w:val="24"/>
          <w:lang w:val="en-US" w:eastAsia="zh-CN"/>
        </w:rPr>
        <w:t>井</w:t>
      </w:r>
      <w:r>
        <w:rPr>
          <w:rFonts w:hint="eastAsia" w:ascii="宋体" w:hAnsi="宋体" w:eastAsia="宋体" w:cs="宋体"/>
          <w:color w:val="auto"/>
          <w:sz w:val="24"/>
          <w:szCs w:val="24"/>
        </w:rPr>
        <w:t>）为物理边界，前端污水产生、收集为我院管理范畴；后端进入污水处理系统后接入市政管网前为乙方管理范围，并接受</w:t>
      </w:r>
      <w:r>
        <w:rPr>
          <w:rFonts w:hint="eastAsia" w:ascii="宋体" w:hAnsi="宋体" w:eastAsia="宋体" w:cs="宋体"/>
          <w:color w:val="auto"/>
          <w:sz w:val="24"/>
          <w:szCs w:val="24"/>
          <w:lang w:val="en-US" w:eastAsia="zh-CN"/>
        </w:rPr>
        <w:t>环保相关部门和</w:t>
      </w:r>
      <w:r>
        <w:rPr>
          <w:rFonts w:hint="eastAsia" w:ascii="宋体" w:hAnsi="宋体" w:eastAsia="宋体" w:cs="宋体"/>
          <w:color w:val="auto"/>
          <w:sz w:val="24"/>
          <w:szCs w:val="24"/>
        </w:rPr>
        <w:t>我院监督。</w:t>
      </w:r>
    </w:p>
    <w:p w14:paraId="63C7C26A">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2、在线监测系统全责运维服务。供应商全责承担在线监测系统运维服务，确保在线监测设备系统规范运行。</w:t>
      </w:r>
    </w:p>
    <w:p w14:paraId="66C69589">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排污许可证环境检测及网报全责综合服务。供应商全责承担按排污许可证规范落实第三方检测实施工作，承担相关全部费用，并按规范落实网报服务。包括按生态环境部门规范、频度要求的噪声、空气及排放污水检测，按要求规范网报及其它所有相关工作。</w:t>
      </w:r>
    </w:p>
    <w:p w14:paraId="61FF036A">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（四）项目预算：人民币</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万元。（供应商需进行分项报价</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超过预算报价无效</w:t>
      </w:r>
      <w:r>
        <w:rPr>
          <w:rFonts w:hint="eastAsia" w:ascii="宋体" w:hAnsi="宋体" w:eastAsia="宋体" w:cs="宋体"/>
          <w:color w:val="auto"/>
          <w:sz w:val="24"/>
          <w:szCs w:val="24"/>
        </w:rPr>
        <w:t>）</w:t>
      </w:r>
    </w:p>
    <w:p w14:paraId="6490EFF5">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（五）服务期限：服务期1年，具体起止时间以合同签订为准。如果合作过程中出现成交供应商违约情况，医院可以即时中止合作。</w:t>
      </w:r>
    </w:p>
    <w:p w14:paraId="5C6E0B41">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lang w:val="en-US" w:eastAsia="zh-CN"/>
        </w:rPr>
        <w:t>三</w:t>
      </w:r>
      <w:r>
        <w:rPr>
          <w:rFonts w:hint="eastAsia" w:ascii="宋体" w:hAnsi="宋体" w:eastAsia="宋体" w:cs="宋体"/>
          <w:b/>
          <w:bCs/>
          <w:color w:val="auto"/>
          <w:sz w:val="24"/>
          <w:szCs w:val="24"/>
        </w:rPr>
        <w:t>、技术参数及服务要求</w:t>
      </w:r>
    </w:p>
    <w:p w14:paraId="0A221385">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（一）污水处理站全责运营服务</w:t>
      </w:r>
    </w:p>
    <w:p w14:paraId="6A36D7E0">
      <w:pPr>
        <w:pageBreakBefore w:val="0"/>
        <w:kinsoku/>
        <w:overflowPunct/>
        <w:topLinePunct w:val="0"/>
        <w:bidi w:val="0"/>
        <w:spacing w:line="360" w:lineRule="auto"/>
        <w:ind w:firstLine="723" w:firstLineChars="300"/>
        <w:rPr>
          <w:rFonts w:hint="eastAsia" w:ascii="宋体" w:hAnsi="宋体" w:eastAsia="宋体" w:cs="宋体"/>
          <w:b/>
          <w:bCs/>
          <w:color w:val="auto"/>
          <w:sz w:val="24"/>
          <w:szCs w:val="24"/>
        </w:rPr>
      </w:pPr>
      <w:r>
        <w:rPr>
          <w:rFonts w:hint="eastAsia" w:ascii="宋体" w:hAnsi="宋体" w:eastAsia="宋体" w:cs="宋体"/>
          <w:b/>
          <w:bCs/>
          <w:color w:val="auto"/>
          <w:sz w:val="24"/>
          <w:szCs w:val="24"/>
        </w:rPr>
        <w:t>1、污水处理全责运维服务主要技术参数</w:t>
      </w:r>
    </w:p>
    <w:p w14:paraId="689ADDE4">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（1）污水处理量：</w:t>
      </w:r>
      <w:r>
        <w:rPr>
          <w:rFonts w:hint="eastAsia" w:ascii="宋体" w:hAnsi="宋体" w:cs="宋体"/>
          <w:color w:val="auto"/>
          <w:sz w:val="24"/>
          <w:szCs w:val="24"/>
          <w:lang w:val="en-US" w:eastAsia="zh-CN"/>
        </w:rPr>
        <w:t>350</w:t>
      </w:r>
      <w:r>
        <w:rPr>
          <w:rFonts w:hint="eastAsia" w:ascii="宋体" w:hAnsi="宋体" w:eastAsia="宋体" w:cs="宋体"/>
          <w:color w:val="auto"/>
          <w:sz w:val="24"/>
          <w:szCs w:val="24"/>
        </w:rPr>
        <w:t>T/d。</w:t>
      </w:r>
    </w:p>
    <w:p w14:paraId="38A4C07B">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2）污水处理最终出水排放标准：满足本项目医院环评要求，符合《医疗机构水污染排放标准》GB18466-2005的表2预处理标准以及其中氨氮的浓度需符合《污水排入城镇下水道水质标准》GB/T31962-2015表1中B等级的要求。具体见下表：排放标准</w:t>
      </w:r>
    </w:p>
    <w:tbl>
      <w:tblPr>
        <w:tblStyle w:val="30"/>
        <w:tblW w:w="499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14"/>
        <w:gridCol w:w="4806"/>
        <w:gridCol w:w="2664"/>
      </w:tblGrid>
      <w:tr w14:paraId="2E014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913FB">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序号</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B0EC">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项目</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BAEF6">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指标</w:t>
            </w:r>
          </w:p>
        </w:tc>
      </w:tr>
      <w:tr w14:paraId="1A942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DD68">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BDFFE">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CODcr(化学需氧量)</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EC02">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&lt;250mg/L</w:t>
            </w:r>
          </w:p>
        </w:tc>
      </w:tr>
      <w:tr w14:paraId="6D066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150D">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4BA6">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BOD5（五日生化需氧量)</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1E42D">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&lt;100mg/L</w:t>
            </w:r>
          </w:p>
        </w:tc>
      </w:tr>
      <w:tr w14:paraId="75DA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B279">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3</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72C46">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氨氮</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E216">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&lt;35mg/L</w:t>
            </w:r>
          </w:p>
        </w:tc>
      </w:tr>
      <w:tr w14:paraId="51C7E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1026">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4</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3EEBE">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SS</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3FFA">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&lt;60mg/L</w:t>
            </w:r>
          </w:p>
        </w:tc>
      </w:tr>
      <w:tr w14:paraId="2DCF2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6"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702B">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5A02">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粪大肠杆菌群</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40C15">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5000MPN/L</w:t>
            </w:r>
          </w:p>
        </w:tc>
      </w:tr>
      <w:tr w14:paraId="4585E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47CC">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6</w:t>
            </w:r>
          </w:p>
        </w:tc>
        <w:tc>
          <w:tcPr>
            <w:tcW w:w="25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11A31">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总余氯</w:t>
            </w:r>
          </w:p>
        </w:tc>
        <w:tc>
          <w:tcPr>
            <w:tcW w:w="1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1060">
            <w:pPr>
              <w:pageBreakBefore w:val="0"/>
              <w:kinsoku/>
              <w:overflowPunct/>
              <w:topLinePunct w:val="0"/>
              <w:bidi w:val="0"/>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2-8mg/L</w:t>
            </w:r>
          </w:p>
        </w:tc>
      </w:tr>
    </w:tbl>
    <w:p w14:paraId="01BFD34E">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上表未列明指标或排放标准发生变化，根据环保部门对医院最新的环评报告和批复的要求执行。</w:t>
      </w:r>
    </w:p>
    <w:p w14:paraId="5DFF7816">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（3）特别声明：本次全责环保综合服务，如合作期间，医院污水站污水处理量及排放标准出现调整变化，服务要求及服务费用不变。</w:t>
      </w:r>
    </w:p>
    <w:p w14:paraId="364A0C52">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（4）污水处理工艺及设备设施情况</w:t>
      </w:r>
    </w:p>
    <w:p w14:paraId="6B4AA298">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污水站采用二级强化生化处理+消毒工艺。医院污水通过格栅进入调节池均质均量混合均匀。调节池污水通过污水提升泵抽到水解池，在水解酸化、厌氧的作用下，污水的大分子有机物和难溶性有机物被厌氧菌降解为小分子和易溶性有机物，提高了污水的可生化性；然后流入接触氧化池进行生化反应，在曝气机曝气提供适宜的溶解氧环境下，氨氮和COD主要污染物质得到去除。接触氧化池的污水流入沉淀池，沉淀池上清液通过溢流堰流入接触消毒池，加入消毒剂充分混合均匀杀毒，污水的细菌、病毒通过接触消毒杀灭，然后达标排放。污水站污水处理工艺及配套设备设施合理、完备，可以充分保障污水处理长期稳定达标排放。</w:t>
      </w:r>
    </w:p>
    <w:p w14:paraId="102715FE">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污水站主要设备仪器见下表：</w:t>
      </w:r>
    </w:p>
    <w:tbl>
      <w:tblPr>
        <w:tblStyle w:val="30"/>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18"/>
        <w:gridCol w:w="2139"/>
        <w:gridCol w:w="3051"/>
        <w:gridCol w:w="886"/>
        <w:gridCol w:w="2386"/>
      </w:tblGrid>
      <w:tr w14:paraId="08B73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441" w:type="pct"/>
            <w:tcBorders>
              <w:top w:val="single" w:color="000000" w:sz="8" w:space="0"/>
              <w:left w:val="single" w:color="000000" w:sz="8" w:space="0"/>
              <w:bottom w:val="single" w:color="000000" w:sz="8" w:space="0"/>
              <w:right w:val="single" w:color="000000" w:sz="8" w:space="0"/>
            </w:tcBorders>
            <w:shd w:val="clear" w:color="auto" w:fill="auto"/>
            <w:vAlign w:val="center"/>
          </w:tcPr>
          <w:p w14:paraId="412720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序号</w:t>
            </w:r>
          </w:p>
        </w:tc>
        <w:tc>
          <w:tcPr>
            <w:tcW w:w="1152" w:type="pct"/>
            <w:tcBorders>
              <w:top w:val="single" w:color="000000" w:sz="8" w:space="0"/>
              <w:left w:val="single" w:color="000000" w:sz="8" w:space="0"/>
              <w:bottom w:val="single" w:color="000000" w:sz="8" w:space="0"/>
              <w:right w:val="single" w:color="000000" w:sz="8" w:space="0"/>
            </w:tcBorders>
            <w:shd w:val="clear" w:color="auto" w:fill="auto"/>
            <w:vAlign w:val="center"/>
          </w:tcPr>
          <w:p w14:paraId="364B9A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名称</w:t>
            </w:r>
          </w:p>
        </w:tc>
        <w:tc>
          <w:tcPr>
            <w:tcW w:w="164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776497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规格型号</w:t>
            </w:r>
          </w:p>
        </w:tc>
        <w:tc>
          <w:tcPr>
            <w:tcW w:w="477"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3B327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数量</w:t>
            </w:r>
          </w:p>
        </w:tc>
        <w:tc>
          <w:tcPr>
            <w:tcW w:w="1285"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162A59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备注</w:t>
            </w:r>
          </w:p>
        </w:tc>
      </w:tr>
      <w:tr w14:paraId="24C3F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213D253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BA769F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机械格栅</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F05315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HF-400，N=0.37KW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37F810C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E85B27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0C1A0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3"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18BE7C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7E23C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提升泵</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438D7A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Q=22m3/h，H=5m，N=1.1kW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DABD1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3台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712C0C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自动搅匀</w:t>
            </w:r>
          </w:p>
        </w:tc>
      </w:tr>
      <w:tr w14:paraId="03301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92A5C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D02B83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87B2251">
            <w:pPr>
              <w:keepNext w:val="0"/>
              <w:keepLines w:val="0"/>
              <w:pageBreakBefore w:val="0"/>
              <w:widowControl/>
              <w:suppressLineNumbers w:val="0"/>
              <w:kinsoku/>
              <w:overflowPunct/>
              <w:topLinePunct w:val="0"/>
              <w:bidi w:val="0"/>
              <w:spacing w:line="360" w:lineRule="auto"/>
              <w:jc w:val="center"/>
              <w:rPr>
                <w:rFonts w:hint="eastAsia" w:ascii="宋体" w:hAnsi="宋体" w:eastAsia="宋体" w:cs="宋体"/>
                <w:i w:val="0"/>
                <w:iCs w:val="0"/>
                <w:color w:val="auto"/>
                <w:sz w:val="24"/>
                <w:szCs w:val="24"/>
                <w:u w:val="none"/>
              </w:rPr>
            </w:pPr>
            <w:r>
              <w:rPr>
                <w:rFonts w:hint="eastAsia" w:ascii="宋体" w:hAnsi="宋体" w:eastAsia="宋体" w:cs="宋体"/>
                <w:color w:val="auto"/>
                <w:kern w:val="0"/>
                <w:sz w:val="24"/>
                <w:szCs w:val="24"/>
                <w:lang w:val="en-US" w:eastAsia="zh-CN" w:bidi="ar"/>
              </w:rPr>
              <w:t>2.56m3/min，升压△H=4mH2O</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DE7DB50">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2D44433">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4F70D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F2918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5F3F2C5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8FF76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7m3/min，升压△H=5mH2O</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486D5EA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2台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64751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lang w:val="en-US"/>
              </w:rPr>
            </w:pPr>
            <w:r>
              <w:rPr>
                <w:rStyle w:val="128"/>
                <w:rFonts w:hint="eastAsia" w:ascii="宋体" w:hAnsi="宋体" w:eastAsia="宋体" w:cs="宋体"/>
                <w:color w:val="auto"/>
                <w:sz w:val="24"/>
                <w:szCs w:val="24"/>
                <w:lang w:val="en-US" w:eastAsia="zh-CN" w:bidi="ar"/>
              </w:rPr>
              <w:t>吸声降噪产品</w:t>
            </w:r>
          </w:p>
        </w:tc>
      </w:tr>
      <w:tr w14:paraId="0950A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2336C9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52DA047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液位控制器</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3B70D7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4ECABF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9C8504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75C13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51CB90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D897FB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预曝气系统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CC9C5AE">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355DD6A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512F2738">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40C8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E586C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9BAB85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弹性立体填料</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BF1121F">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933FD3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288m³</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71BE04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（含支架）</w:t>
            </w:r>
          </w:p>
        </w:tc>
      </w:tr>
      <w:tr w14:paraId="68FF3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626E36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B7A54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管膜式曝气器</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9F12048">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614D8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4套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5132F2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单套服务面积24㎡</w:t>
            </w:r>
          </w:p>
        </w:tc>
      </w:tr>
      <w:tr w14:paraId="5DC81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5E0F7A9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9FB9B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污泥回流泵</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7E5DA3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Q=22m3/h，H=0.5m，</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053066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4台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6BDC8047">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37B94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89D1A4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817BAC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布水系统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4953C70">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ABD8E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70548FE">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66F138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2D3F47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02F9118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集水系统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3AFD9B1">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7B4752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3930F55">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2D72F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88C72C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A4AC92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鼓风机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670D3C0">
            <w:pPr>
              <w:keepNext w:val="0"/>
              <w:keepLines w:val="0"/>
              <w:pageBreakBefore w:val="0"/>
              <w:widowControl/>
              <w:suppressLineNumbers w:val="0"/>
              <w:kinsoku/>
              <w:overflowPunct/>
              <w:topLinePunct w:val="0"/>
              <w:bidi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3.5-4.5kgO2/kW.H</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1760E81F">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274AD14">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79527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E8F75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4A75E7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引风机</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544F00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N=0.55KW</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58751D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4626E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吸声降噪产品</w:t>
            </w:r>
          </w:p>
        </w:tc>
      </w:tr>
      <w:tr w14:paraId="2BB7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9596E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61A690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消毒加药设备</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D57440C">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46CF6FC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A9DFE9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360B3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1123152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DD36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加药泵系统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D95C07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6B95D0A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04501121">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48E4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C7B58C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6F90E88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药剂储槽</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E04E4EF">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50869C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2套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0DA41D9D">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2B810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60EEFB8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DCEB1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脱氯剂投加装置</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749B545A">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F4C8CA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42C8590B">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52B15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301F3A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1E2F64C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余氯在线检测仪</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3853C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MICRO/2000</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7B2EB78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CF69D8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40655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84A4B9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3EFF863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吸收液循环槽</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00CCEBF7">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B77A6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99F732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3B9EB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7018FE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2B28D7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废气净化塔</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433F48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D*H=400*3000</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64BB19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1台</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7CC598A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3C1FA9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4941545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21</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44A393E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超声波明渠流量计</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F96A9A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U53型</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0B58F6B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7CDE038">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27C2E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B3A0A2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7FC2E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管道、阀门等</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210C8877">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5956FDC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367D7131">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6673C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9"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079BDBE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1BC8374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电气及控制系统</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684D55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含PLC</w:t>
            </w:r>
          </w:p>
        </w:tc>
        <w:tc>
          <w:tcPr>
            <w:tcW w:w="477" w:type="pct"/>
            <w:tcBorders>
              <w:top w:val="nil"/>
              <w:left w:val="single" w:color="000000" w:sz="8" w:space="0"/>
              <w:bottom w:val="single" w:color="000000" w:sz="8" w:space="0"/>
              <w:right w:val="single" w:color="000000" w:sz="8" w:space="0"/>
            </w:tcBorders>
            <w:shd w:val="clear" w:color="auto" w:fill="auto"/>
            <w:vAlign w:val="center"/>
          </w:tcPr>
          <w:p w14:paraId="2BF6A2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vAlign w:val="center"/>
          </w:tcPr>
          <w:p w14:paraId="11155A2B">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r w14:paraId="0A1FF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trPr>
        <w:tc>
          <w:tcPr>
            <w:tcW w:w="441" w:type="pct"/>
            <w:tcBorders>
              <w:top w:val="nil"/>
              <w:left w:val="single" w:color="000000" w:sz="8" w:space="0"/>
              <w:bottom w:val="single" w:color="000000" w:sz="8" w:space="0"/>
              <w:right w:val="single" w:color="000000" w:sz="8" w:space="0"/>
            </w:tcBorders>
            <w:shd w:val="clear" w:color="auto" w:fill="auto"/>
            <w:vAlign w:val="center"/>
          </w:tcPr>
          <w:p w14:paraId="3EC103D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w:t>
            </w:r>
          </w:p>
        </w:tc>
        <w:tc>
          <w:tcPr>
            <w:tcW w:w="1152" w:type="pct"/>
            <w:tcBorders>
              <w:top w:val="nil"/>
              <w:left w:val="single" w:color="000000" w:sz="8" w:space="0"/>
              <w:bottom w:val="single" w:color="000000" w:sz="8" w:space="0"/>
              <w:right w:val="single" w:color="000000" w:sz="8" w:space="0"/>
            </w:tcBorders>
            <w:shd w:val="clear" w:color="auto" w:fill="auto"/>
            <w:vAlign w:val="center"/>
          </w:tcPr>
          <w:p w14:paraId="081DE1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排放口流量、pH、COD、数采仪在线监测设备</w:t>
            </w:r>
          </w:p>
        </w:tc>
        <w:tc>
          <w:tcPr>
            <w:tcW w:w="1643" w:type="pct"/>
            <w:tcBorders>
              <w:top w:val="nil"/>
              <w:left w:val="single" w:color="000000" w:sz="8" w:space="0"/>
              <w:bottom w:val="single" w:color="000000" w:sz="8" w:space="0"/>
              <w:right w:val="single" w:color="000000" w:sz="8" w:space="0"/>
            </w:tcBorders>
            <w:shd w:val="clear" w:color="auto" w:fill="auto"/>
            <w:vAlign w:val="center"/>
          </w:tcPr>
          <w:p w14:paraId="1A788E81">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477" w:type="pct"/>
            <w:tcBorders>
              <w:top w:val="nil"/>
              <w:left w:val="single" w:color="000000" w:sz="8" w:space="0"/>
              <w:bottom w:val="single" w:color="000000" w:sz="8" w:space="0"/>
              <w:right w:val="single" w:color="000000" w:sz="8" w:space="0"/>
            </w:tcBorders>
            <w:shd w:val="clear" w:color="auto" w:fill="auto"/>
            <w:vAlign w:val="center"/>
          </w:tcPr>
          <w:p w14:paraId="1D7C9B3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8"/>
                <w:rFonts w:hint="eastAsia" w:ascii="宋体" w:hAnsi="宋体" w:eastAsia="宋体" w:cs="宋体"/>
                <w:color w:val="auto"/>
                <w:sz w:val="24"/>
                <w:szCs w:val="24"/>
                <w:lang w:val="en-US" w:eastAsia="zh-CN" w:bidi="ar"/>
              </w:rPr>
              <w:t>1套</w:t>
            </w:r>
          </w:p>
        </w:tc>
        <w:tc>
          <w:tcPr>
            <w:tcW w:w="1285" w:type="pct"/>
            <w:tcBorders>
              <w:top w:val="nil"/>
              <w:left w:val="single" w:color="000000" w:sz="8" w:space="0"/>
              <w:bottom w:val="single" w:color="000000" w:sz="8" w:space="0"/>
              <w:right w:val="single" w:color="000000" w:sz="8" w:space="0"/>
            </w:tcBorders>
            <w:shd w:val="clear" w:color="auto" w:fill="auto"/>
            <w:noWrap/>
            <w:vAlign w:val="center"/>
          </w:tcPr>
          <w:p w14:paraId="1F5036C3">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r>
    </w:tbl>
    <w:p w14:paraId="07570797">
      <w:pPr>
        <w:pageBreakBefore w:val="0"/>
        <w:kinsoku/>
        <w:overflowPunct/>
        <w:topLinePunct w:val="0"/>
        <w:bidi w:val="0"/>
        <w:spacing w:line="360" w:lineRule="auto"/>
        <w:rPr>
          <w:rFonts w:hint="eastAsia" w:ascii="宋体" w:hAnsi="宋体" w:eastAsia="宋体" w:cs="宋体"/>
          <w:color w:val="auto"/>
          <w:sz w:val="24"/>
          <w:szCs w:val="24"/>
        </w:rPr>
      </w:pPr>
    </w:p>
    <w:p w14:paraId="42235EE4">
      <w:pPr>
        <w:pageBreakBefore w:val="0"/>
        <w:numPr>
          <w:ilvl w:val="0"/>
          <w:numId w:val="4"/>
        </w:numPr>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服务要求</w:t>
      </w:r>
    </w:p>
    <w:tbl>
      <w:tblPr>
        <w:tblStyle w:val="30"/>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1"/>
        <w:gridCol w:w="1779"/>
        <w:gridCol w:w="2376"/>
        <w:gridCol w:w="4296"/>
      </w:tblGrid>
      <w:tr w14:paraId="190E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328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序号</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DA89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服务项目</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B083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承担费用范围</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EEA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说明</w:t>
            </w:r>
          </w:p>
        </w:tc>
      </w:tr>
      <w:tr w14:paraId="77013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E92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C9C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值班人员</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63E3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工资、社保、劳保等</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AF5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值班操作、设备维保及污水检验人员</w:t>
            </w:r>
          </w:p>
        </w:tc>
      </w:tr>
      <w:tr w14:paraId="1AE15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56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546F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设备维保</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0729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维修费、材料配件费</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5F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污水站所有设备维修保养，保持良好</w:t>
            </w:r>
          </w:p>
        </w:tc>
      </w:tr>
      <w:tr w14:paraId="51B3A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851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89C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药剂采购</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8C3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所有污水处理药剂费</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05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消毒药剂、絮凝药剂、应急处理药剂</w:t>
            </w:r>
          </w:p>
        </w:tc>
      </w:tr>
      <w:tr w14:paraId="3BDEF0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15AC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9E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日常运行检测</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F33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关键指标pH、余氯</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599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每日检测确保达标</w:t>
            </w:r>
          </w:p>
        </w:tc>
      </w:tr>
      <w:tr w14:paraId="5B32D4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B3DF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F9F2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污水站清淤</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0541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清淤及危废污泥压滤</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20F0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按环保部门规范处理</w:t>
            </w:r>
          </w:p>
        </w:tc>
      </w:tr>
      <w:tr w14:paraId="1BD60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96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c>
          <w:tcPr>
            <w:tcW w:w="9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788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配合医院工作</w:t>
            </w:r>
          </w:p>
        </w:tc>
        <w:tc>
          <w:tcPr>
            <w:tcW w:w="1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35A8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人员及基本协调费用</w:t>
            </w:r>
          </w:p>
        </w:tc>
        <w:tc>
          <w:tcPr>
            <w:tcW w:w="2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318B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负责做好环保部门沟通、迎接各种检查</w:t>
            </w:r>
          </w:p>
        </w:tc>
      </w:tr>
    </w:tbl>
    <w:p w14:paraId="423A98D9">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p>
    <w:p w14:paraId="0E58CF69">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（1）具体服务内容</w:t>
      </w:r>
    </w:p>
    <w:p w14:paraId="73127505">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包括为污水站配置合格的操作、维修和检验人员</w:t>
      </w:r>
      <w:r>
        <w:rPr>
          <w:rFonts w:hint="eastAsia" w:ascii="宋体" w:hAnsi="宋体" w:cs="宋体"/>
          <w:color w:val="auto"/>
          <w:sz w:val="24"/>
          <w:szCs w:val="24"/>
          <w:lang w:val="en-US" w:eastAsia="zh-CN"/>
        </w:rPr>
        <w:t>持证上岗</w:t>
      </w:r>
      <w:r>
        <w:rPr>
          <w:rFonts w:hint="eastAsia" w:ascii="宋体" w:hAnsi="宋体" w:eastAsia="宋体" w:cs="宋体"/>
          <w:color w:val="auto"/>
          <w:sz w:val="24"/>
          <w:szCs w:val="24"/>
        </w:rPr>
        <w:t>，规范设备维修和保养，采购污水处理药剂，负责日常运行效果检测，保证设施正常运行，保障污水达标排放(包括雨季水量暴涨等情况)等。配合医院做好与环保部门的沟通协调，迎接各种相关检查</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申报工作</w:t>
      </w:r>
      <w:r>
        <w:rPr>
          <w:rFonts w:hint="eastAsia" w:ascii="宋体" w:hAnsi="宋体" w:eastAsia="宋体" w:cs="宋体"/>
          <w:color w:val="auto"/>
          <w:sz w:val="24"/>
          <w:szCs w:val="24"/>
        </w:rPr>
        <w:t>等。</w:t>
      </w:r>
    </w:p>
    <w:p w14:paraId="14362CC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（2）相关内容服务要求要点如下</w:t>
      </w:r>
    </w:p>
    <w:p w14:paraId="483A5B3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A、</w:t>
      </w:r>
      <w:r>
        <w:rPr>
          <w:rFonts w:hint="eastAsia" w:ascii="宋体" w:hAnsi="宋体" w:eastAsia="宋体" w:cs="宋体"/>
          <w:color w:val="auto"/>
          <w:sz w:val="24"/>
          <w:szCs w:val="24"/>
          <w:lang w:val="en-US" w:eastAsia="zh-CN"/>
        </w:rPr>
        <w:t>污水站采用三班制，24 小时有人值守</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定期提供值班人员排班表。</w:t>
      </w:r>
      <w:r>
        <w:rPr>
          <w:rFonts w:hint="eastAsia" w:ascii="宋体" w:hAnsi="宋体" w:eastAsia="宋体" w:cs="宋体"/>
          <w:color w:val="auto"/>
          <w:sz w:val="24"/>
          <w:szCs w:val="24"/>
        </w:rPr>
        <w:t>建立技术档案、设备台帐</w:t>
      </w:r>
      <w:r>
        <w:rPr>
          <w:rFonts w:hint="eastAsia" w:ascii="宋体" w:hAnsi="宋体" w:eastAsia="宋体" w:cs="宋体"/>
          <w:color w:val="auto"/>
          <w:sz w:val="24"/>
          <w:szCs w:val="24"/>
          <w:lang w:val="en-US" w:eastAsia="zh-CN"/>
        </w:rPr>
        <w:t>并按甲方固定资产管理</w:t>
      </w:r>
      <w:r>
        <w:rPr>
          <w:rFonts w:hint="eastAsia" w:ascii="宋体" w:hAnsi="宋体" w:eastAsia="宋体" w:cs="宋体"/>
          <w:color w:val="auto"/>
          <w:sz w:val="24"/>
          <w:szCs w:val="24"/>
        </w:rPr>
        <w:t>。合同期内保证设备、材料完好率100%，处理系统健康稳定运行。</w:t>
      </w:r>
    </w:p>
    <w:p w14:paraId="0A5F2AE2">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B、设备的维修和保养：制定计划，进行定期的设备预防性维护和保养，建立备品备件清单；设备损坏要及时维修，每次检修都应做详细记录。设备的日常维修由供应商负责，如需更换，也由供应商负责更换并按甲方固定资产进行管理。</w:t>
      </w:r>
    </w:p>
    <w:p w14:paraId="7688D2F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C、定期监测：严格执行《排污许可申请与核发技术规范医疗机构（征求意见稿）》及其它国家或行业标准，包括医院内部运营管理中关于监测的要求。出现指标异常时，应第一时间向甲方进行报告和启动应急预案。</w:t>
      </w:r>
    </w:p>
    <w:p w14:paraId="06029A92">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D、药剂和固体废物的要求：药剂应经正规渠道、从正规厂家采购，添加量应满足工艺需求，并保留药剂采购及使用记录。污水运行中产生的固废主要为污泥。污泥作为危险废物，需进行规范处理。</w:t>
      </w:r>
    </w:p>
    <w:p w14:paraId="266B90FB">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E、台帐完整，证件齐全：针对现行操作技术和方法建立完善污水运行制度和记录，其中污水运行过程台帐记录要满足《排污许可申请与核发技术规范医疗机构（征求意见稿）》要求。另外，异常状况记录、维修保养记录、交接班记录、运行状况、巡视检查等均应保留记录，记录必须及时、正确、完整、清晰，实事求是。所有记录应保存一年以上，其中污水运行过程记录应同步记录纸质和电子版，保存3年以上。所有资料应按三级医院考核标准要求整理、完善、归档，并按年度移交院方存档。</w:t>
      </w:r>
    </w:p>
    <w:p w14:paraId="672EBBF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F、配合医院做好与环保部门的工作沟通协调，迎接各种相关检查,并完成相应内外部的环保申报工作。供应商的物理边界内出现的任何问题，由供应商进行交涉并承担责任。</w:t>
      </w:r>
    </w:p>
    <w:p w14:paraId="65CA9AF6">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G、安全管理的其他要求：供应商对废水处理站工作人员，应做好三级安全教育，养成良好的安全生产的风气，预防事故发生和财产损失，确保人身安全；供应商需要给派驻现场的人员配备必要的个人防护用品；在进行受限空间（如进入污水池进行清淤等工作）、动火作业等高危作业时，需严格遵守国家及医院内部相关安全作业要求，进行安全规范作业，杜绝安全生产事故；违反甲方安全健康环保的管理规定，甲方有权根据对现场人员进行处罚；</w:t>
      </w:r>
    </w:p>
    <w:p w14:paraId="31EC820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H、运行全过程贯彻循环经济和清洁生产的理念，减少污染物的排放量和产生量。鼓励在满足前述要求和甲方许可的前提下对现有工艺进行改进优化，节省药剂、能资源消耗和固废。</w:t>
      </w:r>
    </w:p>
    <w:p w14:paraId="2AD4F982">
      <w:pPr>
        <w:pageBreakBefore w:val="0"/>
        <w:kinsoku/>
        <w:overflowPunct/>
        <w:topLinePunct w:val="0"/>
        <w:bidi w:val="0"/>
        <w:spacing w:line="360" w:lineRule="auto"/>
        <w:rPr>
          <w:rFonts w:hint="eastAsia" w:ascii="宋体" w:hAnsi="宋体" w:eastAsia="宋体" w:cs="宋体"/>
          <w:b/>
          <w:bCs/>
          <w:color w:val="auto"/>
          <w:sz w:val="24"/>
          <w:szCs w:val="24"/>
        </w:rPr>
      </w:pPr>
    </w:p>
    <w:p w14:paraId="75A633DC">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（二）在线监测系统全责运维服务</w:t>
      </w:r>
    </w:p>
    <w:p w14:paraId="63EAAB0F">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1、项目在线监测系统主要运行维护的仪器名称和数量</w:t>
      </w:r>
    </w:p>
    <w:tbl>
      <w:tblPr>
        <w:tblStyle w:val="30"/>
        <w:tblW w:w="699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6"/>
        <w:gridCol w:w="3058"/>
        <w:gridCol w:w="1515"/>
      </w:tblGrid>
      <w:tr w14:paraId="47403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0" w:hRule="atLeast"/>
          <w:jc w:val="center"/>
        </w:trPr>
        <w:tc>
          <w:tcPr>
            <w:tcW w:w="24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D47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监控点名称</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CD3D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仪器名称</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E501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数量</w:t>
            </w:r>
          </w:p>
        </w:tc>
      </w:tr>
      <w:tr w14:paraId="4CCCB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restart"/>
            <w:tcBorders>
              <w:top w:val="single" w:color="000000" w:sz="4" w:space="0"/>
              <w:left w:val="single" w:color="000000" w:sz="4" w:space="0"/>
              <w:right w:val="single" w:color="000000" w:sz="4" w:space="0"/>
            </w:tcBorders>
            <w:shd w:val="clear" w:color="auto" w:fill="auto"/>
            <w:vAlign w:val="center"/>
          </w:tcPr>
          <w:p w14:paraId="0DC43E2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污水站总排口污染源在线自动监控系统</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8C5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余氯在线监测仪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798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3E52E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47B5BDAE">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B62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9"/>
                <w:rFonts w:hint="eastAsia" w:ascii="宋体" w:hAnsi="宋体" w:eastAsia="宋体" w:cs="宋体"/>
                <w:color w:val="auto"/>
                <w:sz w:val="24"/>
                <w:szCs w:val="24"/>
                <w:lang w:val="en-US" w:eastAsia="zh-CN" w:bidi="ar"/>
              </w:rPr>
              <w:t>pH</w:t>
            </w:r>
            <w:r>
              <w:rPr>
                <w:rFonts w:hint="eastAsia" w:ascii="宋体" w:hAnsi="宋体" w:eastAsia="宋体" w:cs="宋体"/>
                <w:i w:val="0"/>
                <w:iCs w:val="0"/>
                <w:color w:val="auto"/>
                <w:kern w:val="0"/>
                <w:sz w:val="24"/>
                <w:szCs w:val="24"/>
                <w:u w:val="none"/>
                <w:lang w:val="en-US" w:eastAsia="zh-CN" w:bidi="ar"/>
              </w:rPr>
              <w:t>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5F4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31C5E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48A054AC">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4BCF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数据传输终端</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1615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4CBF9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1E50AC9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FC8D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流量计</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2756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09E2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5D700D0E">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757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COD在线监测仪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A74AC">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color w:val="auto"/>
                <w:sz w:val="24"/>
                <w:szCs w:val="24"/>
                <w:lang w:val="en-US" w:eastAsia="zh-CN" w:bidi="ar"/>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40FE2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jc w:val="center"/>
        </w:trPr>
        <w:tc>
          <w:tcPr>
            <w:tcW w:w="2426" w:type="dxa"/>
            <w:vMerge w:val="continue"/>
            <w:tcBorders>
              <w:left w:val="single" w:color="000000" w:sz="4" w:space="0"/>
              <w:right w:val="single" w:color="000000" w:sz="4" w:space="0"/>
            </w:tcBorders>
            <w:shd w:val="clear" w:color="auto" w:fill="auto"/>
            <w:vAlign w:val="center"/>
          </w:tcPr>
          <w:p w14:paraId="2616592F">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569E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氨氮在线检测仪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E2682">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color w:val="auto"/>
                <w:sz w:val="24"/>
                <w:szCs w:val="24"/>
                <w:lang w:val="en-US" w:eastAsia="zh-CN" w:bidi="ar"/>
              </w:rPr>
            </w:pPr>
            <w:r>
              <w:rPr>
                <w:rStyle w:val="129"/>
                <w:rFonts w:hint="eastAsia" w:ascii="宋体" w:hAnsi="宋体" w:eastAsia="宋体" w:cs="宋体"/>
                <w:color w:val="auto"/>
                <w:sz w:val="24"/>
                <w:szCs w:val="24"/>
                <w:lang w:val="en-US" w:eastAsia="zh-CN" w:bidi="ar"/>
              </w:rPr>
              <w:t>1</w:t>
            </w:r>
            <w:r>
              <w:rPr>
                <w:rFonts w:hint="eastAsia" w:ascii="宋体" w:hAnsi="宋体" w:eastAsia="宋体" w:cs="宋体"/>
                <w:i w:val="0"/>
                <w:iCs w:val="0"/>
                <w:color w:val="auto"/>
                <w:kern w:val="0"/>
                <w:sz w:val="24"/>
                <w:szCs w:val="24"/>
                <w:u w:val="none"/>
                <w:lang w:val="en-US" w:eastAsia="zh-CN" w:bidi="ar"/>
              </w:rPr>
              <w:t>台</w:t>
            </w:r>
          </w:p>
        </w:tc>
      </w:tr>
      <w:tr w14:paraId="42066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 w:hRule="atLeast"/>
          <w:jc w:val="center"/>
        </w:trPr>
        <w:tc>
          <w:tcPr>
            <w:tcW w:w="2426" w:type="dxa"/>
            <w:vMerge w:val="continue"/>
            <w:tcBorders>
              <w:left w:val="single" w:color="000000" w:sz="4" w:space="0"/>
              <w:bottom w:val="single" w:color="000000" w:sz="4" w:space="0"/>
              <w:right w:val="single" w:color="000000" w:sz="4" w:space="0"/>
            </w:tcBorders>
            <w:shd w:val="clear" w:color="auto" w:fill="auto"/>
            <w:vAlign w:val="center"/>
          </w:tcPr>
          <w:p w14:paraId="51C97639">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4EE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总磷在线检测仪</w:t>
            </w:r>
          </w:p>
        </w:tc>
        <w:tc>
          <w:tcPr>
            <w:tcW w:w="1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12ED">
            <w:pPr>
              <w:keepNext w:val="0"/>
              <w:keepLines w:val="0"/>
              <w:pageBreakBefore w:val="0"/>
              <w:widowControl/>
              <w:suppressLineNumbers w:val="0"/>
              <w:kinsoku/>
              <w:overflowPunct/>
              <w:topLinePunct w:val="0"/>
              <w:bidi w:val="0"/>
              <w:spacing w:line="360" w:lineRule="auto"/>
              <w:jc w:val="center"/>
              <w:textAlignment w:val="center"/>
              <w:rPr>
                <w:rStyle w:val="129"/>
                <w:rFonts w:hint="eastAsia" w:ascii="宋体" w:hAnsi="宋体" w:eastAsia="宋体" w:cs="宋体"/>
                <w:color w:val="auto"/>
                <w:sz w:val="24"/>
                <w:szCs w:val="24"/>
                <w:lang w:val="en-US" w:eastAsia="zh-CN" w:bidi="ar"/>
              </w:rPr>
            </w:pPr>
            <w:r>
              <w:rPr>
                <w:rStyle w:val="129"/>
                <w:rFonts w:hint="eastAsia" w:ascii="宋体" w:hAnsi="宋体" w:eastAsia="宋体" w:cs="宋体"/>
                <w:color w:val="auto"/>
                <w:sz w:val="24"/>
                <w:szCs w:val="24"/>
                <w:lang w:val="en-US" w:eastAsia="zh-CN" w:bidi="ar"/>
              </w:rPr>
              <w:t>1台</w:t>
            </w:r>
          </w:p>
        </w:tc>
      </w:tr>
    </w:tbl>
    <w:p w14:paraId="7AD1CB81">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p>
    <w:p w14:paraId="2B86C9FE">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2、运行维护执行标准与规范</w:t>
      </w:r>
    </w:p>
    <w:p w14:paraId="0CDEFE5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（1）《污染源自动监控管理办法》（国家环境保护总局令第28号）；</w:t>
      </w:r>
    </w:p>
    <w:p w14:paraId="1F967D1A">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（2）《污染源自动监控设施运行管理办法》（环办〔2008〕6号）；</w:t>
      </w:r>
    </w:p>
    <w:p w14:paraId="1BDD127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（3）HJ/T212-2005污染源在线自动监控（监测）系统数据传输标准；</w:t>
      </w:r>
    </w:p>
    <w:p w14:paraId="509CF109">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（4）HJ/T352-2007环境污染源自动监控信息传输、交换技术规范；</w:t>
      </w:r>
    </w:p>
    <w:p w14:paraId="2D614A2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（5）HJ353-2019水污染源在线监测系统（CODCr、NH3-N等）安装技术规范；</w:t>
      </w:r>
    </w:p>
    <w:p w14:paraId="26E147B4">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（6）HJ354-2019水污染源在线监测系统（CODCr、NH3-N等）验收技术规范；</w:t>
      </w:r>
    </w:p>
    <w:p w14:paraId="214B3D1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（7）HJ355-2019水污染源在线监测系统（CODCr、NH3-N等）运行技术规范；</w:t>
      </w:r>
    </w:p>
    <w:p w14:paraId="1278B30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（8）HJ356-2019水污染源在线监测系统（CODCr、NH3-N等）数据有效性判别技术规范；</w:t>
      </w:r>
    </w:p>
    <w:p w14:paraId="15ACB43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（9）《湖北省污染源自动监控管理办法》；</w:t>
      </w:r>
    </w:p>
    <w:p w14:paraId="34CE776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（10）《湖北省污染源自动监控管理技术指南》；</w:t>
      </w:r>
    </w:p>
    <w:p w14:paraId="6215F6E6">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3、服务要求</w:t>
      </w:r>
    </w:p>
    <w:p w14:paraId="0C5B6FA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1）按系统及各设备操作规范进行操作维护。</w:t>
      </w:r>
    </w:p>
    <w:p w14:paraId="51ECD1F0">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2）污染源自动监控数据有效传输率应大于95%。在线自动监测仪、数据采集传输仪与监控平台数据误差应小于1%。</w:t>
      </w:r>
    </w:p>
    <w:p w14:paraId="1B11EE93">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3）保证所有监控站点设备正常运行率在95%以上。</w:t>
      </w:r>
    </w:p>
    <w:p w14:paraId="4C4DDDF7">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4）7×24小时技术服务及支持，响应时间＜2小时。</w:t>
      </w:r>
    </w:p>
    <w:p w14:paraId="573720F7">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5）一般故障恢复时间＜6小时。</w:t>
      </w:r>
    </w:p>
    <w:p w14:paraId="1BBF6AD7">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6）建立水污染源自动监控系统日常运行记录和设备台帐，建立相应的质量保证体系，并接受环保部门的台帐检查。</w:t>
      </w:r>
    </w:p>
    <w:p w14:paraId="4435FCA4">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（7）配置合格的操作、维修人员，负责水污染源在线监测系统运行、维护、 </w:t>
      </w:r>
    </w:p>
    <w:p w14:paraId="38EDF3CC">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保养，保证水污染源在线监测运维服务工作达到《湖北省污染源自动监控系统管理办法实施细则》、《湖北省重点污染源自动监控设施第三方运营考核办法》(试行)、《湖北省重点污染源自动监控设施第三方运营考核评分细则》 (试行)、《水污染源在线监测系统（CODCr、NH3-N 等）运行技术规范》（HJ 355-2019）要求和各级环保、水务管理部门监督管理要求。按“污染源在线监控系统运营维护承诺目标”，与环保局同步、同等享受污染源在线监控系统的数据信息。 </w:t>
      </w:r>
    </w:p>
    <w:p w14:paraId="376AE9F3">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（8）由于技术规范存在修改和更新，所对应指标监测要求也必须与之相适 </w:t>
      </w:r>
    </w:p>
    <w:p w14:paraId="2F9A0BA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应和匹配。 </w:t>
      </w:r>
    </w:p>
    <w:p w14:paraId="3CABE8DB">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4、服务保障要求</w:t>
      </w:r>
    </w:p>
    <w:p w14:paraId="4E4D2F8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1）承担委托责任，保证水污染源自动监控系统在合同期限内正常运行。</w:t>
      </w:r>
    </w:p>
    <w:p w14:paraId="57AAA414">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2）运行维护机构应对所有自动监控系统一一对应建立专人负责制，制定操作及维修规程和日常保养制度，建立日常运行记录和设备台帐，建立相应的质量保证体系，并接受医院和环境保护管理部门的台帐检查；</w:t>
      </w:r>
    </w:p>
    <w:p w14:paraId="0BD665A1">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3）运行维护机构应每月向有关环境保护管理部门作运行工作报告，陈述自动监控系统的运行情况。</w:t>
      </w:r>
    </w:p>
    <w:p w14:paraId="2ADDF5D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4）运行维护机构必须及时汇报重大事故或仪器严重故障的情况。</w:t>
      </w:r>
    </w:p>
    <w:p w14:paraId="53AA44FA">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5）在运行维护中按规定对设备定期进行校准及校验。</w:t>
      </w:r>
    </w:p>
    <w:p w14:paraId="0B111A18">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6）若自动监控系统产生重大故障，致使监控数据缺少1天以上，需将故障原因和处理方案及时上报环保部门。</w:t>
      </w:r>
    </w:p>
    <w:p w14:paraId="26682B85">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（三）排污许可证环境检测及网报全责综合服务</w:t>
      </w:r>
    </w:p>
    <w:p w14:paraId="35030134">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1、排污许可证自行监测方案</w:t>
      </w:r>
    </w:p>
    <w:p w14:paraId="2408F138">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（1）监测项目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按照排污许可证自行监测方案规定的格式、内容和频次要求对医院污水站排放污水、厂界噪声、厂界废气、锅炉排放废气各项污染因子定期采样监测。</w:t>
      </w:r>
    </w:p>
    <w:p w14:paraId="1C584C4C">
      <w:pPr>
        <w:pageBreakBefore w:val="0"/>
        <w:kinsoku/>
        <w:overflowPunct/>
        <w:topLinePunct w:val="0"/>
        <w:bidi w:val="0"/>
        <w:spacing w:line="360" w:lineRule="auto"/>
        <w:ind w:firstLine="480"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（2）排污许可证自行监测要求</w:t>
      </w:r>
      <w:r>
        <w:rPr>
          <w:rFonts w:hint="eastAsia" w:ascii="宋体" w:hAnsi="宋体" w:eastAsia="宋体" w:cs="宋体"/>
          <w:color w:val="auto"/>
          <w:sz w:val="24"/>
          <w:szCs w:val="24"/>
          <w:lang w:eastAsia="zh-CN"/>
        </w:rPr>
        <w:t>：</w:t>
      </w:r>
    </w:p>
    <w:p w14:paraId="793C7794">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A、监测记录、电子版监测报告严格执行技术规范，资料留存需按照排污许可证要求保存于5年备查。</w:t>
      </w:r>
    </w:p>
    <w:p w14:paraId="2D727929">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B、监测费用包含可能产生的复测费用。</w:t>
      </w:r>
    </w:p>
    <w:p w14:paraId="0B36DE9B">
      <w:pPr>
        <w:pageBreakBefore w:val="0"/>
        <w:kinsoku/>
        <w:overflowPunct/>
        <w:topLinePunct w:val="0"/>
        <w:bidi w:val="0"/>
        <w:spacing w:line="360" w:lineRule="auto"/>
        <w:ind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C、提供有CMA环境监测资质的第三方检测报告。</w:t>
      </w:r>
    </w:p>
    <w:tbl>
      <w:tblPr>
        <w:tblStyle w:val="30"/>
        <w:tblW w:w="9197" w:type="dxa"/>
        <w:tblInd w:w="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43"/>
        <w:gridCol w:w="1597"/>
        <w:gridCol w:w="1893"/>
        <w:gridCol w:w="1257"/>
        <w:gridCol w:w="1200"/>
        <w:gridCol w:w="727"/>
        <w:gridCol w:w="1580"/>
      </w:tblGrid>
      <w:tr w14:paraId="08F3F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1" w:hRule="atLeast"/>
        </w:trPr>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14:paraId="6D70DD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类型</w:t>
            </w:r>
          </w:p>
        </w:tc>
        <w:tc>
          <w:tcPr>
            <w:tcW w:w="1597" w:type="dxa"/>
            <w:tcBorders>
              <w:top w:val="single" w:color="auto" w:sz="4" w:space="0"/>
              <w:left w:val="single" w:color="auto" w:sz="4" w:space="0"/>
              <w:bottom w:val="single" w:color="auto" w:sz="4" w:space="0"/>
              <w:right w:val="single" w:color="auto" w:sz="4" w:space="0"/>
            </w:tcBorders>
            <w:shd w:val="clear" w:color="auto" w:fill="auto"/>
            <w:vAlign w:val="center"/>
          </w:tcPr>
          <w:p w14:paraId="0D1FECA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点位</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82150F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检测因子</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1922BAB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点位数量</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749CC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每次每点样品数</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CECEA0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天数</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AE7B28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年采样次数</w:t>
            </w:r>
          </w:p>
        </w:tc>
      </w:tr>
      <w:tr w14:paraId="7171B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51033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无组织排放废气</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EA903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污水处理站周界4个</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4A1E161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氨</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C4E52D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367313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126F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29943F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035F0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CF2156C">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C11BB06">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9FEF7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硫化氢</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4270F1C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0B11A0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11C850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0B83713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3C8A0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AC6435E">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B3B52C4">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A33784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臭气浓度</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B51E5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24B05E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2E3EF9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2F18A2D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5A79E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36660C7">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9D064E">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CFD31B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甲烷</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64AF94A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AAB2FA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2351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CA5348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8A03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039255">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50DDC04">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02ABE0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氯气</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5B0517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6D7B4C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B88AB1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5DF998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20D53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DFECD5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噪声</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55EA3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厂界东、南、西、北</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EF0816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昼间噪声</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5B3F2F7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4B7100F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F1B7B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829381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7B742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836CCB8">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1B13747">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395072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夜间噪声</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1C72DD4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4A2264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C69A45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780EC16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r>
      <w:tr w14:paraId="114A5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12CF49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废水</w:t>
            </w:r>
          </w:p>
        </w:tc>
        <w:tc>
          <w:tcPr>
            <w:tcW w:w="159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CE1BEC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总排口</w:t>
            </w: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B7BA55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五日生化需氧量</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A59981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3718AB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6670CD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E42B42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69FFC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C41437">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1160B0A">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BFE58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880E6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31BEC3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E1786B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87BCEE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4DCC79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4BA2933A">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D51E45">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874524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悬浮物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36EC70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92BD87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5C66F9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1D8554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48</w:t>
            </w:r>
          </w:p>
        </w:tc>
      </w:tr>
      <w:tr w14:paraId="791F0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9421326">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8CCD08C">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5CF46F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挥发酚</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2902FD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5A993CF3">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1783C0B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22A88C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75544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F14E2A">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F93D6">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7F7F2DD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石油类</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CDD325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C2BD831">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3FF34A8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4AD4333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60F16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E300B4E">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FF7A692">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530EB41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总氰化物</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02B9D35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0859F3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008D42E4">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28ECE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4350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901663D">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40DFD35">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D5E7B0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动植物油</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40B8DF4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6727FB3C">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7BA9466F">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FE204B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256B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A9866B4">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639695">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1A62EF1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阴离子表面活性剂</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4C298F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4D80E2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293481C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DF09A2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18A530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C83EEAF">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D07DE99">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6EC87CC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粪大肠菌群</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7A0B896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3C02942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FED4BF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588D7E2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419DA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4008746">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A385AE3">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3FF1A8DA">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粪大肠菌群</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258F7A7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1A93387E">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575680F7">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32D95C98">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r>
      <w:tr w14:paraId="309DA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03B8C0A0">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D93D79C">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003A4F12">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总余氯</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326F925B">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01CA928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41D1374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9A84549">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r w14:paraId="0312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 w:hRule="atLeast"/>
        </w:trPr>
        <w:tc>
          <w:tcPr>
            <w:tcW w:w="94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A00DA0">
            <w:pPr>
              <w:pageBreakBefore w:val="0"/>
              <w:kinsoku/>
              <w:overflowPunct/>
              <w:topLinePunct w:val="0"/>
              <w:bidi w:val="0"/>
              <w:spacing w:line="360" w:lineRule="auto"/>
              <w:jc w:val="center"/>
              <w:rPr>
                <w:rFonts w:hint="eastAsia" w:ascii="宋体" w:hAnsi="宋体" w:eastAsia="宋体" w:cs="宋体"/>
                <w:i w:val="0"/>
                <w:iCs w:val="0"/>
                <w:color w:val="auto"/>
                <w:sz w:val="22"/>
                <w:szCs w:val="22"/>
                <w:u w:val="none"/>
              </w:rPr>
            </w:pPr>
          </w:p>
        </w:tc>
        <w:tc>
          <w:tcPr>
            <w:tcW w:w="159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1FD7C84">
            <w:pPr>
              <w:pageBreakBefore w:val="0"/>
              <w:kinsoku/>
              <w:overflowPunct/>
              <w:topLinePunct w:val="0"/>
              <w:bidi w:val="0"/>
              <w:spacing w:line="360" w:lineRule="auto"/>
              <w:jc w:val="center"/>
              <w:rPr>
                <w:rFonts w:hint="eastAsia" w:ascii="宋体" w:hAnsi="宋体" w:eastAsia="宋体" w:cs="宋体"/>
                <w:i w:val="0"/>
                <w:iCs w:val="0"/>
                <w:color w:val="auto"/>
                <w:sz w:val="24"/>
                <w:szCs w:val="24"/>
                <w:u w:val="none"/>
              </w:rPr>
            </w:pPr>
          </w:p>
        </w:tc>
        <w:tc>
          <w:tcPr>
            <w:tcW w:w="1893" w:type="dxa"/>
            <w:tcBorders>
              <w:top w:val="single" w:color="auto" w:sz="4" w:space="0"/>
              <w:left w:val="single" w:color="auto" w:sz="4" w:space="0"/>
              <w:bottom w:val="single" w:color="auto" w:sz="4" w:space="0"/>
              <w:right w:val="single" w:color="auto" w:sz="4" w:space="0"/>
            </w:tcBorders>
            <w:shd w:val="clear" w:color="auto" w:fill="auto"/>
            <w:vAlign w:val="center"/>
          </w:tcPr>
          <w:p w14:paraId="4356C695">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色度</w:t>
            </w:r>
          </w:p>
        </w:tc>
        <w:tc>
          <w:tcPr>
            <w:tcW w:w="1257" w:type="dxa"/>
            <w:tcBorders>
              <w:top w:val="single" w:color="auto" w:sz="4" w:space="0"/>
              <w:left w:val="single" w:color="auto" w:sz="4" w:space="0"/>
              <w:bottom w:val="single" w:color="auto" w:sz="4" w:space="0"/>
              <w:right w:val="single" w:color="auto" w:sz="4" w:space="0"/>
            </w:tcBorders>
            <w:shd w:val="clear" w:color="auto" w:fill="auto"/>
            <w:vAlign w:val="center"/>
          </w:tcPr>
          <w:p w14:paraId="698F054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14:paraId="79C9E390">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14:paraId="6AC82B66">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580" w:type="dxa"/>
            <w:tcBorders>
              <w:top w:val="single" w:color="auto" w:sz="4" w:space="0"/>
              <w:left w:val="single" w:color="auto" w:sz="4" w:space="0"/>
              <w:bottom w:val="single" w:color="auto" w:sz="4" w:space="0"/>
              <w:right w:val="single" w:color="auto" w:sz="4" w:space="0"/>
            </w:tcBorders>
            <w:shd w:val="clear" w:color="auto" w:fill="auto"/>
            <w:vAlign w:val="center"/>
          </w:tcPr>
          <w:p w14:paraId="6E22E20D">
            <w:pPr>
              <w:keepNext w:val="0"/>
              <w:keepLines w:val="0"/>
              <w:pageBreakBefore w:val="0"/>
              <w:widowControl/>
              <w:suppressLineNumbers w:val="0"/>
              <w:kinsoku/>
              <w:overflowPunct/>
              <w:topLinePunct w:val="0"/>
              <w:bidi w:val="0"/>
              <w:spacing w:line="360" w:lineRule="auto"/>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r>
    </w:tbl>
    <w:p w14:paraId="3E55845E">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p>
    <w:p w14:paraId="5DF746DA">
      <w:pPr>
        <w:pageBreakBefore w:val="0"/>
        <w:kinsoku/>
        <w:overflowPunct/>
        <w:topLinePunct w:val="0"/>
        <w:bidi w:val="0"/>
        <w:spacing w:line="360" w:lineRule="auto"/>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2、排污许可证证后填报管理</w:t>
      </w:r>
    </w:p>
    <w:p w14:paraId="23E81ABD">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全国排污许可证管理信息平台》、《湖北省污染源监测信息管理与共享平台》两个系统填报项数据，并提交当地环保主管部门审核通过。完成“湖北省重点污染源监测数据管理系统平台”的自行监测数据填报，在线监测数据每日填报，手工监测数据按检测要求填报。对超标数据进行审核及复检，找出超标原因及时整改，直到检测数据达标。</w:t>
      </w:r>
    </w:p>
    <w:p w14:paraId="4854D7C2">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cs="宋体"/>
          <w:b/>
          <w:bCs/>
          <w:color w:val="auto"/>
          <w:sz w:val="24"/>
          <w:szCs w:val="24"/>
          <w:lang w:val="en-US" w:eastAsia="zh-CN"/>
        </w:rPr>
        <w:t>四</w:t>
      </w:r>
      <w:r>
        <w:rPr>
          <w:rFonts w:hint="eastAsia" w:ascii="宋体" w:hAnsi="宋体" w:eastAsia="宋体" w:cs="宋体"/>
          <w:b/>
          <w:bCs/>
          <w:color w:val="auto"/>
          <w:sz w:val="24"/>
          <w:szCs w:val="24"/>
        </w:rPr>
        <w:t>、商务要求</w:t>
      </w:r>
    </w:p>
    <w:p w14:paraId="6824E595">
      <w:pPr>
        <w:pageBreakBefore w:val="0"/>
        <w:kinsoku/>
        <w:overflowPunct/>
        <w:topLinePunct w:val="0"/>
        <w:bidi w:val="0"/>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（一）外包服务供应商承担的责任与义务：</w:t>
      </w:r>
    </w:p>
    <w:p w14:paraId="446E864C">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供应商必须承诺的责任及义务包括但不限于：</w:t>
      </w:r>
    </w:p>
    <w:p w14:paraId="04EED07E">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按三甲医院考核标准要求规范运营、管理环保设施、人员、流程等，保障污染物排放持续达标；</w:t>
      </w:r>
    </w:p>
    <w:p w14:paraId="66C1D582">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按规程维修、保养环保设施，设施运行工况达到设计理想效果；</w:t>
      </w:r>
    </w:p>
    <w:p w14:paraId="5553C901">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杜绝环保事故和安全生产事故，承担安全生产责任；</w:t>
      </w:r>
    </w:p>
    <w:p w14:paraId="6A3C6D06">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规范过程管理，按环保部门要求做好台账记录；</w:t>
      </w:r>
    </w:p>
    <w:p w14:paraId="34ACF6C0">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按规范做好排污许可证综合管理服务工作；</w:t>
      </w:r>
    </w:p>
    <w:p w14:paraId="2DB73BF7">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承担、转移合作单位在合作期间的所有相关环保责任，包括超标排放处罚及关联的其它民事、刑事责任；</w:t>
      </w:r>
    </w:p>
    <w:p w14:paraId="366F65A1">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配合医院做好相关协调工作，特别是与环保部门的工作沟通与协调；</w:t>
      </w:r>
    </w:p>
    <w:p w14:paraId="7ED3ACFF">
      <w:pPr>
        <w:pageBreakBefore w:val="0"/>
        <w:numPr>
          <w:ilvl w:val="0"/>
          <w:numId w:val="5"/>
        </w:numPr>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服务期满，移交污水站时，污水站污水处理系统设备正常运行。</w:t>
      </w:r>
    </w:p>
    <w:p w14:paraId="1ADC3904">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（二）服务技术人员要求：</w:t>
      </w:r>
    </w:p>
    <w:p w14:paraId="18866D64">
      <w:pPr>
        <w:pageBreakBefore w:val="0"/>
        <w:kinsoku/>
        <w:overflowPunct/>
        <w:topLinePunct w:val="0"/>
        <w:bidi w:val="0"/>
        <w:spacing w:line="360" w:lineRule="auto"/>
        <w:ind w:firstLine="480" w:firstLineChars="200"/>
        <w:rPr>
          <w:rFonts w:hint="eastAsia" w:ascii="宋体" w:hAnsi="宋体" w:cs="宋体"/>
          <w:color w:val="auto"/>
          <w:spacing w:val="-2"/>
          <w:sz w:val="24"/>
          <w:szCs w:val="24"/>
          <w:lang w:val="en-US" w:eastAsia="zh-CN"/>
        </w:rPr>
      </w:pPr>
      <w:r>
        <w:rPr>
          <w:rFonts w:hint="eastAsia" w:ascii="宋体" w:hAnsi="宋体" w:eastAsia="宋体" w:cs="宋体"/>
          <w:color w:val="auto"/>
          <w:sz w:val="24"/>
          <w:szCs w:val="24"/>
        </w:rPr>
        <w:t>1、岗位要求：污水站配置人员</w:t>
      </w:r>
      <w:r>
        <w:rPr>
          <w:rFonts w:hint="eastAsia" w:ascii="宋体" w:hAnsi="宋体" w:cs="宋体"/>
          <w:color w:val="auto"/>
          <w:sz w:val="24"/>
          <w:szCs w:val="24"/>
          <w:lang w:val="en-US" w:eastAsia="zh-CN"/>
        </w:rPr>
        <w:t>不少于4</w:t>
      </w:r>
      <w:r>
        <w:rPr>
          <w:rFonts w:hint="eastAsia" w:ascii="宋体" w:hAnsi="宋体" w:eastAsia="宋体" w:cs="宋体"/>
          <w:color w:val="auto"/>
          <w:sz w:val="24"/>
          <w:szCs w:val="24"/>
        </w:rPr>
        <w:t>人，</w:t>
      </w:r>
      <w:r>
        <w:rPr>
          <w:rFonts w:hint="eastAsia" w:ascii="宋体" w:hAnsi="宋体" w:cs="宋体"/>
          <w:color w:val="auto"/>
          <w:sz w:val="24"/>
          <w:szCs w:val="24"/>
          <w:lang w:val="en-US" w:eastAsia="zh-CN"/>
        </w:rPr>
        <w:t>常驻技术人员具有</w:t>
      </w:r>
      <w:r>
        <w:rPr>
          <w:rFonts w:hint="eastAsia" w:ascii="宋体" w:hAnsi="宋体" w:eastAsia="宋体" w:cs="宋体"/>
          <w:color w:val="auto"/>
          <w:sz w:val="24"/>
          <w:szCs w:val="24"/>
        </w:rPr>
        <w:t>环保及其相关专业</w:t>
      </w:r>
      <w:r>
        <w:rPr>
          <w:rFonts w:hint="eastAsia" w:ascii="宋体" w:hAnsi="宋体" w:cs="宋体"/>
          <w:color w:val="auto"/>
          <w:sz w:val="24"/>
          <w:szCs w:val="24"/>
          <w:lang w:val="en-US" w:eastAsia="zh-CN"/>
        </w:rPr>
        <w:t>证书的不少于2人</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其他项目管理人员</w:t>
      </w:r>
      <w:r>
        <w:rPr>
          <w:rFonts w:hint="eastAsia" w:ascii="宋体" w:hAnsi="宋体" w:cs="宋体"/>
          <w:color w:val="auto"/>
          <w:sz w:val="24"/>
          <w:szCs w:val="24"/>
          <w:lang w:val="en-US" w:eastAsia="zh-CN"/>
        </w:rPr>
        <w:t>具有污废水处理工证的不少于2人。（技术人员须提供近6个月任意一个月社保证明、毕业证书、提供常驻本项目服务承诺；</w:t>
      </w:r>
      <w:r>
        <w:rPr>
          <w:rFonts w:hint="eastAsia" w:ascii="宋体" w:hAnsi="宋体" w:eastAsia="宋体" w:cs="宋体"/>
          <w:color w:val="auto"/>
          <w:sz w:val="24"/>
          <w:szCs w:val="24"/>
          <w:lang w:val="en-US" w:eastAsia="zh-CN"/>
        </w:rPr>
        <w:t>其他项目管理人员</w:t>
      </w:r>
      <w:r>
        <w:rPr>
          <w:rFonts w:hint="eastAsia" w:ascii="宋体" w:hAnsi="宋体" w:cs="宋体"/>
          <w:color w:val="auto"/>
          <w:sz w:val="24"/>
          <w:szCs w:val="24"/>
          <w:lang w:val="en-US" w:eastAsia="zh-CN"/>
        </w:rPr>
        <w:t>须提供</w:t>
      </w:r>
      <w:r>
        <w:rPr>
          <w:rFonts w:hint="eastAsia" w:ascii="宋体" w:hAnsi="宋体" w:eastAsia="宋体" w:cs="宋体"/>
          <w:color w:val="auto"/>
          <w:spacing w:val="-2"/>
          <w:sz w:val="24"/>
          <w:szCs w:val="24"/>
          <w:lang w:val="en-US" w:eastAsia="zh-CN"/>
        </w:rPr>
        <w:t>证书扫描件和近6个月内的社保证明材料</w:t>
      </w:r>
      <w:r>
        <w:rPr>
          <w:rFonts w:hint="eastAsia" w:ascii="宋体" w:hAnsi="宋体" w:cs="宋体"/>
          <w:color w:val="auto"/>
          <w:spacing w:val="-2"/>
          <w:sz w:val="24"/>
          <w:szCs w:val="24"/>
          <w:lang w:val="en-US" w:eastAsia="zh-CN"/>
        </w:rPr>
        <w:t>。）</w:t>
      </w:r>
    </w:p>
    <w:p w14:paraId="1E897CFC">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2、服务单位必须根据需要配备足够的维修装备及工具、劳保用品。</w:t>
      </w:r>
    </w:p>
    <w:p w14:paraId="1FBD9CBC">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3、派驻人员严格遵守本院各项规章制度，身体健康、按时作息、员工在岗期间不得闲聊、赌博、酗酒、娱乐等行为，认真履行本职工作。</w:t>
      </w:r>
    </w:p>
    <w:p w14:paraId="5D24F399">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4、服务单位员工在工作期间不得与采购人员发生争吵、打架等现象，如有类似情况发生，采购人可责令服务单位即时辞退当事人。</w:t>
      </w:r>
    </w:p>
    <w:p w14:paraId="2A6517DC">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5、服务单位人员与甲方人员发生言语纠纷或行为冲突造成采购人或双方人身伤害和财产损失，由服务单位承担责任和赔偿经济损失。</w:t>
      </w:r>
    </w:p>
    <w:p w14:paraId="69815716">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6、服务单位用工应签订劳动合同，并办理各种用工手续，如因用工不当而造成不良后果，采购人概不负责。</w:t>
      </w:r>
    </w:p>
    <w:p w14:paraId="44152E92">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（三）服务费用报价说明：</w:t>
      </w:r>
    </w:p>
    <w:p w14:paraId="6245B29B">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采用包干一费制，具体费用包含：服务技术人员工资及福利费、污水处理药剂费、在线监测设备药剂耗材费、设备维护保养费(不含单件维修费用超过2000元的)、日常运行监测及排污许可证第三方检测费、排污许可证管理网报服务</w:t>
      </w:r>
      <w:r>
        <w:rPr>
          <w:rFonts w:hint="eastAsia" w:ascii="宋体" w:hAnsi="宋体" w:eastAsia="宋体" w:cs="宋体"/>
          <w:color w:val="auto"/>
          <w:sz w:val="24"/>
          <w:szCs w:val="24"/>
          <w:lang w:val="en-US" w:eastAsia="zh-CN"/>
        </w:rPr>
        <w:t>危废处理</w:t>
      </w:r>
      <w:r>
        <w:rPr>
          <w:rFonts w:hint="eastAsia" w:ascii="宋体" w:hAnsi="宋体" w:eastAsia="宋体" w:cs="宋体"/>
          <w:color w:val="auto"/>
          <w:sz w:val="24"/>
          <w:szCs w:val="24"/>
        </w:rPr>
        <w:t>等服务费、污水站各池体污泥清掏压滤费、管理费、税费。运营合作期间，污水站污水处理量发生变化或污水排放标准调整，外包服务费不变。</w:t>
      </w:r>
    </w:p>
    <w:p w14:paraId="464978E3">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（四）付款方式：</w:t>
      </w:r>
    </w:p>
    <w:p w14:paraId="5054F6F2">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 xml:space="preserve">合同签订后，服务费按先服务后付费方式结算，中标人每服务满半年，凭发票及第三方出具的合格检测报告向甲方结算。出现超标排放等相关处罚罚款项，医院可以不支付相关代维费用，并可以要求中标人承担赔偿责任。 </w:t>
      </w:r>
    </w:p>
    <w:p w14:paraId="1A4EA040">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（五）服务期限：</w:t>
      </w:r>
    </w:p>
    <w:p w14:paraId="20B1648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服务期1年，具体起止时间以合同签订为准。如果合作过程中出现成交供应商违约情况，医院可以即时中止合作。</w:t>
      </w:r>
    </w:p>
    <w:p w14:paraId="74ECA599">
      <w:pPr>
        <w:pageBreakBefore w:val="0"/>
        <w:kinsoku/>
        <w:overflowPunct/>
        <w:topLinePunct w:val="0"/>
        <w:bidi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（六）工作地点：</w:t>
      </w:r>
      <w:r>
        <w:rPr>
          <w:rFonts w:hint="eastAsia" w:ascii="宋体" w:hAnsi="宋体" w:eastAsia="宋体" w:cs="宋体"/>
          <w:color w:val="auto"/>
          <w:sz w:val="24"/>
          <w:szCs w:val="24"/>
          <w:lang w:val="en-US" w:eastAsia="zh-CN"/>
        </w:rPr>
        <w:t>洪湖市人民医院</w:t>
      </w:r>
    </w:p>
    <w:p w14:paraId="46A1D42F">
      <w:pPr>
        <w:pageBreakBefore w:val="0"/>
        <w:kinsoku/>
        <w:overflowPunct/>
        <w:topLinePunct w:val="0"/>
        <w:bidi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四、附加内容</w:t>
      </w:r>
    </w:p>
    <w:p w14:paraId="12BEA01F">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1、项目具体情况，参与供应商可以自行踏勘现场，采购人不统一组织。参与供应商踏勘现场的费用及风险自行承担。</w:t>
      </w:r>
    </w:p>
    <w:p w14:paraId="364D4CAD">
      <w:pPr>
        <w:pageBreakBefore w:val="0"/>
        <w:kinsoku/>
        <w:overflowPunct/>
        <w:topLinePunct w:val="0"/>
        <w:bidi w:val="0"/>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2、参与供应商承诺认可我院污水站的现状，保障污水站达标排放。</w:t>
      </w:r>
    </w:p>
    <w:p w14:paraId="75590FB7">
      <w:pPr>
        <w:pageBreakBefore w:val="0"/>
        <w:kinsoku/>
        <w:overflowPunct/>
        <w:topLinePunct w:val="0"/>
        <w:bidi w:val="0"/>
        <w:spacing w:line="360" w:lineRule="auto"/>
        <w:ind w:firstLine="480" w:firstLineChars="200"/>
        <w:rPr>
          <w:rFonts w:hint="eastAsia"/>
          <w:color w:val="auto"/>
        </w:rPr>
      </w:pPr>
      <w:r>
        <w:rPr>
          <w:rFonts w:hint="eastAsia" w:ascii="宋体" w:hAnsi="宋体" w:eastAsia="宋体" w:cs="宋体"/>
          <w:color w:val="auto"/>
          <w:sz w:val="24"/>
          <w:szCs w:val="24"/>
        </w:rPr>
        <w:t>3、合同到期后，如果双方满意，可以续约，每次续约一年，最多续约三次。</w:t>
      </w:r>
      <w:r>
        <w:rPr>
          <w:rFonts w:hint="eastAsia" w:ascii="宋体" w:hAnsi="宋体" w:eastAsia="宋体" w:cs="宋体"/>
          <w:color w:val="auto"/>
          <w:sz w:val="24"/>
          <w:szCs w:val="24"/>
        </w:rPr>
        <w:br w:type="page"/>
      </w:r>
    </w:p>
    <w:p w14:paraId="6CEC5941">
      <w:pPr>
        <w:pageBreakBefore w:val="0"/>
        <w:kinsoku/>
        <w:overflowPunct/>
        <w:topLinePunct w:val="0"/>
        <w:bidi w:val="0"/>
        <w:adjustRightInd w:val="0"/>
        <w:snapToGrid w:val="0"/>
        <w:spacing w:line="360" w:lineRule="auto"/>
        <w:jc w:val="center"/>
        <w:outlineLvl w:val="0"/>
        <w:rPr>
          <w:b/>
          <w:color w:val="auto"/>
          <w:sz w:val="44"/>
          <w:highlight w:val="none"/>
        </w:rPr>
      </w:pPr>
      <w:r>
        <w:rPr>
          <w:b/>
          <w:color w:val="auto"/>
          <w:sz w:val="44"/>
          <w:highlight w:val="none"/>
        </w:rPr>
        <w:t>第四章评审办法及评分标准</w:t>
      </w:r>
    </w:p>
    <w:p w14:paraId="1D2DDE5B">
      <w:pPr>
        <w:pageBreakBefore w:val="0"/>
        <w:kinsoku/>
        <w:overflowPunct/>
        <w:topLinePunct w:val="0"/>
        <w:bidi w:val="0"/>
        <w:spacing w:line="360" w:lineRule="auto"/>
        <w:ind w:firstLine="480" w:firstLineChars="200"/>
        <w:rPr>
          <w:rFonts w:ascii="宋体" w:hAnsi="宋体"/>
          <w:color w:val="auto"/>
          <w:sz w:val="24"/>
          <w:highlight w:val="none"/>
        </w:rPr>
      </w:pPr>
      <w:r>
        <w:rPr>
          <w:rFonts w:hint="eastAsia" w:ascii="宋体" w:hAnsi="宋体"/>
          <w:color w:val="auto"/>
          <w:sz w:val="24"/>
          <w:highlight w:val="none"/>
        </w:rPr>
        <w:t>一、评审方法</w:t>
      </w:r>
    </w:p>
    <w:p w14:paraId="7D20B73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本次评审采用综合评分法。即满分</w:t>
      </w:r>
      <w:r>
        <w:rPr>
          <w:color w:val="auto"/>
          <w:sz w:val="24"/>
          <w:szCs w:val="21"/>
          <w:highlight w:val="none"/>
        </w:rPr>
        <w:t>100</w:t>
      </w:r>
      <w:r>
        <w:rPr>
          <w:rFonts w:hint="eastAsia"/>
          <w:color w:val="auto"/>
          <w:sz w:val="24"/>
          <w:szCs w:val="21"/>
          <w:highlight w:val="none"/>
        </w:rPr>
        <w:t>分，其中商务评议占</w:t>
      </w:r>
      <w:r>
        <w:rPr>
          <w:rFonts w:hint="eastAsia"/>
          <w:color w:val="auto"/>
          <w:sz w:val="24"/>
          <w:szCs w:val="21"/>
          <w:highlight w:val="none"/>
          <w:lang w:val="en-US" w:eastAsia="zh-CN"/>
        </w:rPr>
        <w:t>26</w:t>
      </w:r>
      <w:r>
        <w:rPr>
          <w:rFonts w:hint="eastAsia"/>
          <w:color w:val="auto"/>
          <w:sz w:val="24"/>
          <w:szCs w:val="21"/>
          <w:highlight w:val="none"/>
        </w:rPr>
        <w:t>％，技术服务评议占</w:t>
      </w:r>
      <w:r>
        <w:rPr>
          <w:rFonts w:hint="eastAsia"/>
          <w:color w:val="auto"/>
          <w:sz w:val="24"/>
          <w:szCs w:val="21"/>
          <w:highlight w:val="none"/>
          <w:lang w:val="en-US" w:eastAsia="zh-CN"/>
        </w:rPr>
        <w:t>64</w:t>
      </w:r>
      <w:r>
        <w:rPr>
          <w:rFonts w:hint="eastAsia"/>
          <w:color w:val="auto"/>
          <w:sz w:val="24"/>
          <w:szCs w:val="21"/>
          <w:highlight w:val="none"/>
        </w:rPr>
        <w:t>％，价格评议占</w:t>
      </w:r>
      <w:r>
        <w:rPr>
          <w:rFonts w:hint="eastAsia"/>
          <w:color w:val="auto"/>
          <w:sz w:val="24"/>
          <w:szCs w:val="21"/>
          <w:highlight w:val="none"/>
          <w:lang w:val="en-US" w:eastAsia="zh-CN"/>
        </w:rPr>
        <w:t>10</w:t>
      </w:r>
      <w:r>
        <w:rPr>
          <w:color w:val="auto"/>
          <w:sz w:val="24"/>
          <w:szCs w:val="21"/>
          <w:highlight w:val="none"/>
        </w:rPr>
        <w:t>%</w:t>
      </w:r>
      <w:r>
        <w:rPr>
          <w:rFonts w:hint="eastAsia"/>
          <w:color w:val="auto"/>
          <w:sz w:val="24"/>
          <w:szCs w:val="21"/>
          <w:highlight w:val="none"/>
        </w:rPr>
        <w:t>。</w:t>
      </w:r>
    </w:p>
    <w:p w14:paraId="6F7034B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二、评审步骤</w:t>
      </w:r>
    </w:p>
    <w:p w14:paraId="0906DFC2">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磋商小组对响应文件的评审分为资格性检查和符合性检查、技术服务评议、商务合同条款评议和价格评议。</w:t>
      </w:r>
    </w:p>
    <w:p w14:paraId="2B2632E9">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（一）资格性检查和符合性检查</w:t>
      </w:r>
    </w:p>
    <w:p w14:paraId="7168F8B2">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磋商小组依据《资格性检查和符合性检查表》内容，对照各供应商响应文件的响应情况进行评审。资格性检查和符合性检查不合格的响应文件，不进入下一轮评议。检查内容见《资格性检查和符合性检查表》。</w:t>
      </w:r>
    </w:p>
    <w:p w14:paraId="050DEE70">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（二）技术服务评议（占</w:t>
      </w:r>
      <w:r>
        <w:rPr>
          <w:rFonts w:hint="eastAsia"/>
          <w:color w:val="auto"/>
          <w:sz w:val="24"/>
          <w:szCs w:val="21"/>
          <w:highlight w:val="none"/>
          <w:lang w:val="en-US" w:eastAsia="zh-CN"/>
        </w:rPr>
        <w:t>64</w:t>
      </w:r>
      <w:r>
        <w:rPr>
          <w:color w:val="auto"/>
          <w:sz w:val="24"/>
          <w:szCs w:val="21"/>
          <w:highlight w:val="none"/>
        </w:rPr>
        <w:t>%</w:t>
      </w:r>
      <w:r>
        <w:rPr>
          <w:rFonts w:hint="eastAsia"/>
          <w:color w:val="auto"/>
          <w:sz w:val="24"/>
          <w:szCs w:val="21"/>
          <w:highlight w:val="none"/>
        </w:rPr>
        <w:t>）</w:t>
      </w:r>
    </w:p>
    <w:p w14:paraId="3B67BA3C">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磋商小组依据《技术服务评分表》规定分值及标准，对照各供应商响应文件的响应情况进行评分，详见《技术服务评分表》。</w:t>
      </w:r>
    </w:p>
    <w:p w14:paraId="3E9121A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（三）商务和合同条款评议（占</w:t>
      </w:r>
      <w:r>
        <w:rPr>
          <w:rFonts w:hint="eastAsia"/>
          <w:color w:val="auto"/>
          <w:sz w:val="24"/>
          <w:szCs w:val="21"/>
          <w:highlight w:val="none"/>
          <w:lang w:val="en-US" w:eastAsia="zh-CN"/>
        </w:rPr>
        <w:t>26</w:t>
      </w:r>
      <w:r>
        <w:rPr>
          <w:color w:val="auto"/>
          <w:sz w:val="24"/>
          <w:szCs w:val="21"/>
          <w:highlight w:val="none"/>
        </w:rPr>
        <w:t>%</w:t>
      </w:r>
      <w:r>
        <w:rPr>
          <w:rFonts w:hint="eastAsia"/>
          <w:color w:val="auto"/>
          <w:sz w:val="24"/>
          <w:szCs w:val="21"/>
          <w:highlight w:val="none"/>
        </w:rPr>
        <w:t>）</w:t>
      </w:r>
    </w:p>
    <w:p w14:paraId="0165CA0E">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磋商小组依据《商务和合同条款评分表》规定分值及标准，对照各供应商响应文件的响应情况进行评分，详见《商务和合同条款评分表》。</w:t>
      </w:r>
    </w:p>
    <w:p w14:paraId="701D4B3C">
      <w:pPr>
        <w:pageBreakBefore w:val="0"/>
        <w:kinsoku/>
        <w:overflowPunct/>
        <w:topLinePunct w:val="0"/>
        <w:bidi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lang w:val="en-US" w:eastAsia="zh-CN"/>
        </w:rPr>
        <w:t>（四）</w:t>
      </w:r>
      <w:r>
        <w:rPr>
          <w:rFonts w:hint="eastAsia" w:ascii="Times New Roman" w:hAnsi="Times New Roman" w:eastAsia="宋体" w:cs="Times New Roman"/>
          <w:color w:val="auto"/>
          <w:sz w:val="24"/>
          <w:szCs w:val="21"/>
          <w:highlight w:val="none"/>
        </w:rPr>
        <w:t>价格评议（占</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w:t>
      </w:r>
    </w:p>
    <w:p w14:paraId="58363B06">
      <w:pPr>
        <w:pageBreakBefore w:val="0"/>
        <w:kinsoku/>
        <w:overflowPunct/>
        <w:topLinePunct w:val="0"/>
        <w:bidi w:val="0"/>
        <w:spacing w:line="360" w:lineRule="auto"/>
        <w:ind w:firstLine="480" w:firstLineChars="200"/>
        <w:rPr>
          <w:rFonts w:hint="eastAsia" w:ascii="Times New Roman" w:hAnsi="Times New Roman" w:eastAsia="宋体" w:cs="Times New Roman"/>
          <w:color w:val="auto"/>
          <w:sz w:val="24"/>
          <w:szCs w:val="21"/>
          <w:highlight w:val="none"/>
        </w:rPr>
      </w:pPr>
      <w:r>
        <w:rPr>
          <w:rFonts w:hint="eastAsia" w:ascii="Times New Roman" w:hAnsi="Times New Roman" w:eastAsia="宋体" w:cs="Times New Roman"/>
          <w:color w:val="auto"/>
          <w:sz w:val="24"/>
          <w:szCs w:val="21"/>
          <w:highlight w:val="none"/>
        </w:rPr>
        <w:t>报价分采用低价优先法计算，即满足磋商文件要求且投标价格（落实政府采购政策进行价格调整的，以调整后的价格计算）最低的投标报价为评标基准价，其价格分为满分。其他供应商的价格分按照下列公式计算：磋商报价得分=(磋商基准价／最后磋商报价)×</w:t>
      </w:r>
      <w:r>
        <w:rPr>
          <w:rFonts w:hint="eastAsia" w:ascii="Times New Roman" w:hAnsi="Times New Roman" w:cs="Times New Roman"/>
          <w:color w:val="auto"/>
          <w:sz w:val="24"/>
          <w:szCs w:val="21"/>
          <w:highlight w:val="none"/>
          <w:lang w:val="en-US" w:eastAsia="zh-CN"/>
        </w:rPr>
        <w:t>1</w:t>
      </w:r>
      <w:r>
        <w:rPr>
          <w:rFonts w:hint="eastAsia" w:ascii="Times New Roman" w:hAnsi="Times New Roman" w:eastAsia="宋体" w:cs="Times New Roman"/>
          <w:color w:val="auto"/>
          <w:sz w:val="24"/>
          <w:szCs w:val="21"/>
          <w:highlight w:val="none"/>
        </w:rPr>
        <w:t>0分</w:t>
      </w:r>
    </w:p>
    <w:p w14:paraId="5E23048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（五）推荐成交候选供应商</w:t>
      </w:r>
    </w:p>
    <w:p w14:paraId="36344B38">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磋商小组从质量和服务均能满足采购文件实质性要求的供应商中，按照综合得分由高到低的顺序提出3名以上成交候选人，也可按事先授权直接确定成交供应商，并编写评审报告。当出现两个及以上相同最高分时，磋商小组按照最后报价由低到高确定评审结果排序；得分相同，且最后报价也相同的，磋商小组按技术优劣或投票确定评审结果排序。</w:t>
      </w:r>
    </w:p>
    <w:p w14:paraId="19C2BA08">
      <w:pPr>
        <w:pageBreakBefore w:val="0"/>
        <w:kinsoku/>
        <w:overflowPunct/>
        <w:topLinePunct w:val="0"/>
        <w:bidi w:val="0"/>
        <w:spacing w:line="360" w:lineRule="auto"/>
        <w:ind w:firstLine="480" w:firstLineChars="200"/>
        <w:rPr>
          <w:rFonts w:hint="eastAsia"/>
          <w:color w:val="auto"/>
          <w:sz w:val="24"/>
          <w:szCs w:val="21"/>
          <w:highlight w:val="none"/>
        </w:rPr>
      </w:pPr>
      <w:r>
        <w:rPr>
          <w:rFonts w:hint="eastAsia"/>
          <w:color w:val="auto"/>
          <w:sz w:val="24"/>
          <w:szCs w:val="21"/>
          <w:highlight w:val="none"/>
        </w:rPr>
        <w:t>三、评分（评审）标准</w:t>
      </w:r>
    </w:p>
    <w:p w14:paraId="70FA6ADB">
      <w:pPr>
        <w:pageBreakBefore w:val="0"/>
        <w:kinsoku/>
        <w:overflowPunct/>
        <w:topLinePunct w:val="0"/>
        <w:bidi w:val="0"/>
        <w:spacing w:line="360" w:lineRule="auto"/>
        <w:ind w:firstLine="480" w:firstLineChars="200"/>
        <w:rPr>
          <w:color w:val="auto"/>
          <w:sz w:val="24"/>
          <w:szCs w:val="21"/>
          <w:highlight w:val="none"/>
        </w:rPr>
      </w:pPr>
      <w:r>
        <w:rPr>
          <w:rFonts w:hint="eastAsia"/>
          <w:color w:val="auto"/>
          <w:sz w:val="24"/>
          <w:szCs w:val="21"/>
          <w:highlight w:val="none"/>
        </w:rPr>
        <w:t>（一）资格性检查和符合性检查表</w:t>
      </w:r>
    </w:p>
    <w:tbl>
      <w:tblPr>
        <w:tblStyle w:val="3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7"/>
        <w:gridCol w:w="8495"/>
      </w:tblGrid>
      <w:tr w14:paraId="6083E3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0D31FC8">
            <w:pPr>
              <w:pageBreakBefore w:val="0"/>
              <w:kinsoku/>
              <w:overflowPunct/>
              <w:topLinePunct w:val="0"/>
              <w:bidi w:val="0"/>
              <w:spacing w:line="360" w:lineRule="auto"/>
              <w:jc w:val="center"/>
              <w:rPr>
                <w:color w:val="auto"/>
                <w:sz w:val="24"/>
                <w:szCs w:val="24"/>
              </w:rPr>
            </w:pPr>
            <w:r>
              <w:rPr>
                <w:rFonts w:hint="eastAsia"/>
                <w:color w:val="auto"/>
                <w:sz w:val="24"/>
                <w:szCs w:val="24"/>
              </w:rPr>
              <w:t>序号</w:t>
            </w:r>
          </w:p>
        </w:tc>
        <w:tc>
          <w:tcPr>
            <w:tcW w:w="4575" w:type="pct"/>
            <w:noWrap w:val="0"/>
            <w:vAlign w:val="center"/>
          </w:tcPr>
          <w:p w14:paraId="1B2E36ED">
            <w:pPr>
              <w:pageBreakBefore w:val="0"/>
              <w:kinsoku/>
              <w:overflowPunct/>
              <w:topLinePunct w:val="0"/>
              <w:bidi w:val="0"/>
              <w:spacing w:line="360" w:lineRule="auto"/>
              <w:jc w:val="center"/>
              <w:rPr>
                <w:color w:val="auto"/>
                <w:sz w:val="24"/>
                <w:szCs w:val="24"/>
              </w:rPr>
            </w:pPr>
            <w:r>
              <w:rPr>
                <w:rFonts w:hint="eastAsia"/>
                <w:color w:val="auto"/>
                <w:sz w:val="24"/>
                <w:szCs w:val="24"/>
              </w:rPr>
              <w:t xml:space="preserve">内  </w:t>
            </w:r>
            <w:r>
              <w:rPr>
                <w:color w:val="auto"/>
                <w:sz w:val="24"/>
                <w:szCs w:val="24"/>
              </w:rPr>
              <w:t xml:space="preserve">  </w:t>
            </w:r>
            <w:r>
              <w:rPr>
                <w:rFonts w:hint="eastAsia"/>
                <w:color w:val="auto"/>
                <w:sz w:val="24"/>
                <w:szCs w:val="24"/>
              </w:rPr>
              <w:t>容</w:t>
            </w:r>
          </w:p>
        </w:tc>
      </w:tr>
      <w:tr w14:paraId="130F6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424" w:type="pct"/>
            <w:noWrap w:val="0"/>
            <w:vAlign w:val="center"/>
          </w:tcPr>
          <w:p w14:paraId="1FCB1BD9">
            <w:pPr>
              <w:pageBreakBefore w:val="0"/>
              <w:kinsoku/>
              <w:overflowPunct/>
              <w:topLinePunct w:val="0"/>
              <w:bidi w:val="0"/>
              <w:spacing w:line="360" w:lineRule="auto"/>
              <w:jc w:val="center"/>
              <w:rPr>
                <w:color w:val="auto"/>
                <w:sz w:val="24"/>
                <w:szCs w:val="24"/>
              </w:rPr>
            </w:pPr>
            <w:r>
              <w:rPr>
                <w:rFonts w:hint="eastAsia"/>
                <w:color w:val="auto"/>
                <w:sz w:val="24"/>
                <w:szCs w:val="24"/>
              </w:rPr>
              <w:t>1</w:t>
            </w:r>
          </w:p>
        </w:tc>
        <w:tc>
          <w:tcPr>
            <w:tcW w:w="4575" w:type="pct"/>
            <w:noWrap w:val="0"/>
            <w:vAlign w:val="top"/>
          </w:tcPr>
          <w:p w14:paraId="002CC24F">
            <w:pPr>
              <w:pageBreakBefore w:val="0"/>
              <w:kinsoku/>
              <w:overflowPunct/>
              <w:topLinePunct w:val="0"/>
              <w:bidi w:val="0"/>
              <w:spacing w:line="360" w:lineRule="auto"/>
              <w:jc w:val="left"/>
              <w:rPr>
                <w:color w:val="auto"/>
                <w:sz w:val="24"/>
                <w:szCs w:val="24"/>
              </w:rPr>
            </w:pPr>
            <w:r>
              <w:rPr>
                <w:rFonts w:hint="eastAsia"/>
                <w:color w:val="auto"/>
                <w:sz w:val="24"/>
                <w:szCs w:val="24"/>
                <w:lang w:eastAsia="zh-CN"/>
              </w:rPr>
              <w:t>磋商</w:t>
            </w:r>
            <w:r>
              <w:rPr>
                <w:color w:val="auto"/>
                <w:sz w:val="24"/>
                <w:szCs w:val="24"/>
              </w:rPr>
              <w:t>书</w:t>
            </w:r>
          </w:p>
        </w:tc>
      </w:tr>
      <w:tr w14:paraId="7AC8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424" w:type="pct"/>
            <w:noWrap w:val="0"/>
            <w:vAlign w:val="center"/>
          </w:tcPr>
          <w:p w14:paraId="2F91EF6A">
            <w:pPr>
              <w:pageBreakBefore w:val="0"/>
              <w:kinsoku/>
              <w:overflowPunct/>
              <w:topLinePunct w:val="0"/>
              <w:bidi w:val="0"/>
              <w:spacing w:line="360" w:lineRule="auto"/>
              <w:jc w:val="center"/>
              <w:rPr>
                <w:color w:val="auto"/>
                <w:sz w:val="24"/>
                <w:szCs w:val="24"/>
              </w:rPr>
            </w:pPr>
            <w:r>
              <w:rPr>
                <w:rFonts w:hint="eastAsia"/>
                <w:color w:val="auto"/>
                <w:sz w:val="24"/>
                <w:szCs w:val="24"/>
              </w:rPr>
              <w:t>2</w:t>
            </w:r>
          </w:p>
        </w:tc>
        <w:tc>
          <w:tcPr>
            <w:tcW w:w="4575" w:type="pct"/>
            <w:noWrap w:val="0"/>
            <w:vAlign w:val="top"/>
          </w:tcPr>
          <w:p w14:paraId="72AC6CC1">
            <w:pPr>
              <w:pageBreakBefore w:val="0"/>
              <w:kinsoku/>
              <w:overflowPunct/>
              <w:topLinePunct w:val="0"/>
              <w:bidi w:val="0"/>
              <w:spacing w:line="360" w:lineRule="auto"/>
              <w:jc w:val="left"/>
              <w:rPr>
                <w:color w:val="auto"/>
                <w:sz w:val="24"/>
                <w:szCs w:val="24"/>
              </w:rPr>
            </w:pPr>
            <w:r>
              <w:rPr>
                <w:color w:val="auto"/>
                <w:sz w:val="24"/>
                <w:szCs w:val="24"/>
              </w:rPr>
              <w:t>报价组成情况表</w:t>
            </w:r>
          </w:p>
        </w:tc>
      </w:tr>
      <w:tr w14:paraId="263AA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D5C3955">
            <w:pPr>
              <w:pageBreakBefore w:val="0"/>
              <w:kinsoku/>
              <w:overflowPunct/>
              <w:topLinePunct w:val="0"/>
              <w:bidi w:val="0"/>
              <w:spacing w:line="360" w:lineRule="auto"/>
              <w:jc w:val="center"/>
              <w:rPr>
                <w:color w:val="auto"/>
                <w:sz w:val="24"/>
                <w:szCs w:val="24"/>
              </w:rPr>
            </w:pPr>
            <w:r>
              <w:rPr>
                <w:rFonts w:hint="eastAsia"/>
                <w:color w:val="auto"/>
                <w:sz w:val="24"/>
                <w:szCs w:val="24"/>
              </w:rPr>
              <w:t>3</w:t>
            </w:r>
          </w:p>
        </w:tc>
        <w:tc>
          <w:tcPr>
            <w:tcW w:w="4575" w:type="pct"/>
            <w:noWrap w:val="0"/>
            <w:vAlign w:val="top"/>
          </w:tcPr>
          <w:p w14:paraId="3BF0B3B0">
            <w:pPr>
              <w:pageBreakBefore w:val="0"/>
              <w:kinsoku/>
              <w:overflowPunct/>
              <w:topLinePunct w:val="0"/>
              <w:bidi w:val="0"/>
              <w:spacing w:line="360" w:lineRule="auto"/>
              <w:jc w:val="left"/>
              <w:rPr>
                <w:color w:val="auto"/>
                <w:sz w:val="24"/>
                <w:szCs w:val="24"/>
              </w:rPr>
            </w:pPr>
            <w:r>
              <w:rPr>
                <w:color w:val="auto"/>
                <w:sz w:val="24"/>
                <w:szCs w:val="24"/>
              </w:rPr>
              <w:t>货物（服务）清单</w:t>
            </w:r>
          </w:p>
        </w:tc>
      </w:tr>
      <w:tr w14:paraId="7E42A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A1FAA04">
            <w:pPr>
              <w:pageBreakBefore w:val="0"/>
              <w:kinsoku/>
              <w:overflowPunct/>
              <w:topLinePunct w:val="0"/>
              <w:bidi w:val="0"/>
              <w:spacing w:line="360" w:lineRule="auto"/>
              <w:jc w:val="center"/>
              <w:rPr>
                <w:color w:val="auto"/>
                <w:sz w:val="24"/>
                <w:szCs w:val="24"/>
              </w:rPr>
            </w:pPr>
            <w:r>
              <w:rPr>
                <w:rFonts w:hint="eastAsia"/>
                <w:color w:val="auto"/>
                <w:sz w:val="24"/>
                <w:szCs w:val="24"/>
              </w:rPr>
              <w:t>4</w:t>
            </w:r>
          </w:p>
        </w:tc>
        <w:tc>
          <w:tcPr>
            <w:tcW w:w="4575" w:type="pct"/>
            <w:noWrap w:val="0"/>
            <w:vAlign w:val="top"/>
          </w:tcPr>
          <w:p w14:paraId="18530E69">
            <w:pPr>
              <w:pageBreakBefore w:val="0"/>
              <w:kinsoku/>
              <w:overflowPunct/>
              <w:topLinePunct w:val="0"/>
              <w:bidi w:val="0"/>
              <w:spacing w:line="360" w:lineRule="auto"/>
              <w:jc w:val="left"/>
              <w:rPr>
                <w:color w:val="auto"/>
                <w:sz w:val="24"/>
                <w:szCs w:val="24"/>
              </w:rPr>
            </w:pPr>
            <w:r>
              <w:rPr>
                <w:color w:val="auto"/>
                <w:sz w:val="24"/>
                <w:szCs w:val="24"/>
              </w:rPr>
              <w:t>资格性</w:t>
            </w:r>
            <w:r>
              <w:rPr>
                <w:rFonts w:hint="eastAsia"/>
                <w:color w:val="auto"/>
                <w:sz w:val="24"/>
                <w:szCs w:val="24"/>
              </w:rPr>
              <w:t>检查和</w:t>
            </w:r>
            <w:r>
              <w:rPr>
                <w:color w:val="auto"/>
                <w:sz w:val="24"/>
                <w:szCs w:val="24"/>
              </w:rPr>
              <w:t>符合性检查对照表</w:t>
            </w:r>
          </w:p>
        </w:tc>
      </w:tr>
      <w:tr w14:paraId="31C5A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87CAA2B">
            <w:pPr>
              <w:pageBreakBefore w:val="0"/>
              <w:kinsoku/>
              <w:overflowPunct/>
              <w:topLinePunct w:val="0"/>
              <w:bidi w:val="0"/>
              <w:spacing w:line="360" w:lineRule="auto"/>
              <w:jc w:val="center"/>
              <w:rPr>
                <w:color w:val="auto"/>
                <w:sz w:val="24"/>
                <w:szCs w:val="24"/>
              </w:rPr>
            </w:pPr>
            <w:r>
              <w:rPr>
                <w:color w:val="auto"/>
                <w:sz w:val="24"/>
                <w:szCs w:val="24"/>
              </w:rPr>
              <w:t>5</w:t>
            </w:r>
          </w:p>
        </w:tc>
        <w:tc>
          <w:tcPr>
            <w:tcW w:w="4575" w:type="pct"/>
            <w:noWrap w:val="0"/>
            <w:vAlign w:val="top"/>
          </w:tcPr>
          <w:p w14:paraId="1B77B22B">
            <w:pPr>
              <w:pageBreakBefore w:val="0"/>
              <w:kinsoku/>
              <w:overflowPunct/>
              <w:topLinePunct w:val="0"/>
              <w:bidi w:val="0"/>
              <w:spacing w:line="360" w:lineRule="auto"/>
              <w:jc w:val="left"/>
              <w:rPr>
                <w:color w:val="auto"/>
                <w:sz w:val="24"/>
                <w:szCs w:val="24"/>
              </w:rPr>
            </w:pPr>
            <w:r>
              <w:rPr>
                <w:color w:val="auto"/>
                <w:sz w:val="24"/>
                <w:szCs w:val="24"/>
              </w:rPr>
              <w:t>技术响应、偏离情况说明表</w:t>
            </w:r>
          </w:p>
        </w:tc>
      </w:tr>
      <w:tr w14:paraId="225C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49E2F7D">
            <w:pPr>
              <w:pageBreakBefore w:val="0"/>
              <w:kinsoku/>
              <w:overflowPunct/>
              <w:topLinePunct w:val="0"/>
              <w:bidi w:val="0"/>
              <w:spacing w:line="360" w:lineRule="auto"/>
              <w:jc w:val="center"/>
              <w:rPr>
                <w:color w:val="auto"/>
                <w:sz w:val="24"/>
                <w:szCs w:val="24"/>
              </w:rPr>
            </w:pPr>
            <w:r>
              <w:rPr>
                <w:color w:val="auto"/>
                <w:sz w:val="24"/>
                <w:szCs w:val="24"/>
              </w:rPr>
              <w:t>6</w:t>
            </w:r>
          </w:p>
        </w:tc>
        <w:tc>
          <w:tcPr>
            <w:tcW w:w="4575" w:type="pct"/>
            <w:noWrap w:val="0"/>
            <w:vAlign w:val="top"/>
          </w:tcPr>
          <w:p w14:paraId="6E0AEAFE">
            <w:pPr>
              <w:pageBreakBefore w:val="0"/>
              <w:kinsoku/>
              <w:overflowPunct/>
              <w:topLinePunct w:val="0"/>
              <w:bidi w:val="0"/>
              <w:spacing w:line="360" w:lineRule="auto"/>
              <w:jc w:val="left"/>
              <w:rPr>
                <w:color w:val="auto"/>
                <w:sz w:val="24"/>
                <w:szCs w:val="24"/>
              </w:rPr>
            </w:pPr>
            <w:r>
              <w:rPr>
                <w:rFonts w:hint="eastAsia"/>
                <w:color w:val="auto"/>
                <w:sz w:val="24"/>
                <w:szCs w:val="24"/>
              </w:rPr>
              <w:t>商务</w:t>
            </w:r>
            <w:r>
              <w:rPr>
                <w:color w:val="auto"/>
                <w:sz w:val="24"/>
                <w:szCs w:val="24"/>
              </w:rPr>
              <w:t>响应、偏离情况说明表</w:t>
            </w:r>
          </w:p>
        </w:tc>
      </w:tr>
      <w:tr w14:paraId="14D41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E501645">
            <w:pPr>
              <w:pageBreakBefore w:val="0"/>
              <w:kinsoku/>
              <w:overflowPunct/>
              <w:topLinePunct w:val="0"/>
              <w:bidi w:val="0"/>
              <w:spacing w:line="360" w:lineRule="auto"/>
              <w:jc w:val="center"/>
              <w:rPr>
                <w:color w:val="auto"/>
                <w:sz w:val="24"/>
                <w:szCs w:val="24"/>
              </w:rPr>
            </w:pPr>
            <w:r>
              <w:rPr>
                <w:color w:val="auto"/>
                <w:sz w:val="24"/>
                <w:szCs w:val="24"/>
              </w:rPr>
              <w:t>7</w:t>
            </w:r>
          </w:p>
        </w:tc>
        <w:tc>
          <w:tcPr>
            <w:tcW w:w="4575" w:type="pct"/>
            <w:noWrap w:val="0"/>
            <w:vAlign w:val="top"/>
          </w:tcPr>
          <w:p w14:paraId="0BED61E2">
            <w:pPr>
              <w:pageBreakBefore w:val="0"/>
              <w:kinsoku/>
              <w:overflowPunct/>
              <w:topLinePunct w:val="0"/>
              <w:bidi w:val="0"/>
              <w:spacing w:line="360" w:lineRule="auto"/>
              <w:jc w:val="left"/>
              <w:rPr>
                <w:color w:val="auto"/>
                <w:sz w:val="24"/>
                <w:szCs w:val="24"/>
              </w:rPr>
            </w:pPr>
            <w:r>
              <w:rPr>
                <w:color w:val="auto"/>
                <w:sz w:val="24"/>
                <w:szCs w:val="24"/>
              </w:rPr>
              <w:t>法人（负责人）代表授权书</w:t>
            </w:r>
          </w:p>
        </w:tc>
      </w:tr>
      <w:tr w14:paraId="16375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1FF30A6">
            <w:pPr>
              <w:pageBreakBefore w:val="0"/>
              <w:kinsoku/>
              <w:overflowPunct/>
              <w:topLinePunct w:val="0"/>
              <w:bidi w:val="0"/>
              <w:spacing w:line="360" w:lineRule="auto"/>
              <w:jc w:val="center"/>
              <w:rPr>
                <w:color w:val="auto"/>
                <w:sz w:val="24"/>
                <w:szCs w:val="24"/>
              </w:rPr>
            </w:pPr>
            <w:r>
              <w:rPr>
                <w:color w:val="auto"/>
                <w:sz w:val="24"/>
                <w:szCs w:val="24"/>
              </w:rPr>
              <w:t>8</w:t>
            </w:r>
          </w:p>
        </w:tc>
        <w:tc>
          <w:tcPr>
            <w:tcW w:w="4575" w:type="pct"/>
            <w:noWrap w:val="0"/>
            <w:vAlign w:val="top"/>
          </w:tcPr>
          <w:p w14:paraId="37FBC462">
            <w:pPr>
              <w:pageBreakBefore w:val="0"/>
              <w:kinsoku/>
              <w:overflowPunct/>
              <w:topLinePunct w:val="0"/>
              <w:bidi w:val="0"/>
              <w:spacing w:line="360" w:lineRule="auto"/>
              <w:jc w:val="left"/>
              <w:rPr>
                <w:color w:val="auto"/>
                <w:sz w:val="24"/>
                <w:szCs w:val="24"/>
              </w:rPr>
            </w:pPr>
            <w:r>
              <w:rPr>
                <w:color w:val="auto"/>
                <w:sz w:val="24"/>
                <w:szCs w:val="24"/>
              </w:rPr>
              <w:t>法人或者其他组织的营业执照等证明文件，自然人的身份证明</w:t>
            </w:r>
          </w:p>
        </w:tc>
      </w:tr>
      <w:tr w14:paraId="03BC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163666FA">
            <w:pPr>
              <w:pageBreakBefore w:val="0"/>
              <w:kinsoku/>
              <w:overflowPunct/>
              <w:topLinePunct w:val="0"/>
              <w:bidi w:val="0"/>
              <w:spacing w:line="360" w:lineRule="auto"/>
              <w:jc w:val="center"/>
              <w:rPr>
                <w:color w:val="auto"/>
                <w:sz w:val="24"/>
                <w:szCs w:val="24"/>
              </w:rPr>
            </w:pPr>
            <w:r>
              <w:rPr>
                <w:color w:val="auto"/>
                <w:sz w:val="24"/>
                <w:szCs w:val="24"/>
              </w:rPr>
              <w:t>9</w:t>
            </w:r>
          </w:p>
        </w:tc>
        <w:tc>
          <w:tcPr>
            <w:tcW w:w="4575" w:type="pct"/>
            <w:noWrap w:val="0"/>
            <w:vAlign w:val="top"/>
          </w:tcPr>
          <w:p w14:paraId="580A4337">
            <w:pPr>
              <w:pageBreakBefore w:val="0"/>
              <w:kinsoku/>
              <w:overflowPunct/>
              <w:topLinePunct w:val="0"/>
              <w:bidi w:val="0"/>
              <w:spacing w:line="360" w:lineRule="auto"/>
              <w:jc w:val="left"/>
              <w:rPr>
                <w:color w:val="auto"/>
                <w:sz w:val="24"/>
                <w:szCs w:val="24"/>
              </w:rPr>
            </w:pPr>
            <w:r>
              <w:rPr>
                <w:color w:val="auto"/>
                <w:sz w:val="24"/>
                <w:szCs w:val="24"/>
              </w:rPr>
              <w:t>符合国家相关规定的财务状况报告</w:t>
            </w:r>
            <w:r>
              <w:rPr>
                <w:rFonts w:hint="eastAsia"/>
                <w:color w:val="auto"/>
                <w:sz w:val="24"/>
                <w:szCs w:val="24"/>
                <w:lang w:val="en-US" w:eastAsia="zh-CN"/>
              </w:rPr>
              <w:t>或</w:t>
            </w:r>
            <w:r>
              <w:rPr>
                <w:color w:val="auto"/>
                <w:sz w:val="24"/>
                <w:szCs w:val="24"/>
              </w:rPr>
              <w:t>书面承诺书，依法缴纳税收和社会保障资金的证明材料</w:t>
            </w:r>
            <w:r>
              <w:rPr>
                <w:rFonts w:hint="eastAsia"/>
                <w:color w:val="auto"/>
                <w:sz w:val="24"/>
                <w:szCs w:val="24"/>
                <w:lang w:val="en-US" w:eastAsia="zh-CN"/>
              </w:rPr>
              <w:t>或</w:t>
            </w:r>
            <w:r>
              <w:rPr>
                <w:color w:val="auto"/>
                <w:sz w:val="24"/>
                <w:szCs w:val="24"/>
              </w:rPr>
              <w:t>书面承诺书</w:t>
            </w:r>
          </w:p>
        </w:tc>
      </w:tr>
      <w:tr w14:paraId="7CA81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2B7CD14">
            <w:pPr>
              <w:pageBreakBefore w:val="0"/>
              <w:kinsoku/>
              <w:overflowPunct/>
              <w:topLinePunct w:val="0"/>
              <w:bidi w:val="0"/>
              <w:spacing w:line="360" w:lineRule="auto"/>
              <w:jc w:val="center"/>
              <w:rPr>
                <w:color w:val="auto"/>
                <w:sz w:val="24"/>
                <w:szCs w:val="24"/>
              </w:rPr>
            </w:pPr>
            <w:r>
              <w:rPr>
                <w:color w:val="auto"/>
                <w:sz w:val="24"/>
                <w:szCs w:val="24"/>
              </w:rPr>
              <w:t>10</w:t>
            </w:r>
          </w:p>
        </w:tc>
        <w:tc>
          <w:tcPr>
            <w:tcW w:w="4575" w:type="pct"/>
            <w:noWrap w:val="0"/>
            <w:vAlign w:val="top"/>
          </w:tcPr>
          <w:p w14:paraId="31CD1A3E">
            <w:pPr>
              <w:pageBreakBefore w:val="0"/>
              <w:kinsoku/>
              <w:overflowPunct/>
              <w:topLinePunct w:val="0"/>
              <w:bidi w:val="0"/>
              <w:spacing w:line="360" w:lineRule="auto"/>
              <w:jc w:val="left"/>
              <w:rPr>
                <w:color w:val="auto"/>
                <w:sz w:val="24"/>
                <w:szCs w:val="24"/>
              </w:rPr>
            </w:pPr>
            <w:r>
              <w:rPr>
                <w:color w:val="auto"/>
                <w:sz w:val="24"/>
                <w:szCs w:val="24"/>
              </w:rPr>
              <w:t>具备履行合同所必需的设备和专业技术能力的证明材料</w:t>
            </w:r>
            <w:r>
              <w:rPr>
                <w:rFonts w:hint="eastAsia"/>
                <w:color w:val="auto"/>
                <w:sz w:val="24"/>
                <w:szCs w:val="24"/>
                <w:lang w:val="en-US" w:eastAsia="zh-CN"/>
              </w:rPr>
              <w:t>或</w:t>
            </w:r>
            <w:r>
              <w:rPr>
                <w:color w:val="auto"/>
                <w:sz w:val="24"/>
                <w:szCs w:val="24"/>
              </w:rPr>
              <w:t>书面承诺书</w:t>
            </w:r>
          </w:p>
        </w:tc>
      </w:tr>
      <w:tr w14:paraId="39E3E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10ECAEA">
            <w:pPr>
              <w:pageBreakBefore w:val="0"/>
              <w:kinsoku/>
              <w:overflowPunct/>
              <w:topLinePunct w:val="0"/>
              <w:bidi w:val="0"/>
              <w:spacing w:line="360" w:lineRule="auto"/>
              <w:jc w:val="center"/>
              <w:rPr>
                <w:color w:val="auto"/>
                <w:sz w:val="24"/>
                <w:szCs w:val="24"/>
              </w:rPr>
            </w:pPr>
            <w:r>
              <w:rPr>
                <w:rFonts w:hint="eastAsia"/>
                <w:color w:val="auto"/>
                <w:sz w:val="24"/>
                <w:szCs w:val="24"/>
              </w:rPr>
              <w:t>1</w:t>
            </w:r>
            <w:r>
              <w:rPr>
                <w:color w:val="auto"/>
                <w:sz w:val="24"/>
                <w:szCs w:val="24"/>
              </w:rPr>
              <w:t>1</w:t>
            </w:r>
          </w:p>
        </w:tc>
        <w:tc>
          <w:tcPr>
            <w:tcW w:w="4575" w:type="pct"/>
            <w:noWrap w:val="0"/>
            <w:vAlign w:val="top"/>
          </w:tcPr>
          <w:p w14:paraId="2A065A3E">
            <w:pPr>
              <w:pageBreakBefore w:val="0"/>
              <w:kinsoku/>
              <w:overflowPunct/>
              <w:topLinePunct w:val="0"/>
              <w:bidi w:val="0"/>
              <w:spacing w:line="360" w:lineRule="auto"/>
              <w:jc w:val="left"/>
              <w:rPr>
                <w:color w:val="auto"/>
                <w:sz w:val="24"/>
                <w:szCs w:val="24"/>
              </w:rPr>
            </w:pPr>
            <w:r>
              <w:rPr>
                <w:color w:val="auto"/>
                <w:sz w:val="24"/>
                <w:szCs w:val="24"/>
              </w:rPr>
              <w:t>参加政府采购活动前3年内在经营活动中没有重大违法记录的书面声明</w:t>
            </w:r>
          </w:p>
        </w:tc>
      </w:tr>
      <w:tr w14:paraId="6AC6F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0BD52919">
            <w:pPr>
              <w:pageBreakBefore w:val="0"/>
              <w:kinsoku/>
              <w:overflowPunct/>
              <w:topLinePunct w:val="0"/>
              <w:bidi w:val="0"/>
              <w:spacing w:line="360" w:lineRule="auto"/>
              <w:jc w:val="center"/>
              <w:rPr>
                <w:rFonts w:hint="default" w:eastAsia="宋体"/>
                <w:color w:val="auto"/>
                <w:sz w:val="24"/>
                <w:szCs w:val="24"/>
                <w:lang w:val="en-US" w:eastAsia="zh-CN"/>
              </w:rPr>
            </w:pPr>
            <w:r>
              <w:rPr>
                <w:rFonts w:hint="eastAsia"/>
                <w:color w:val="auto"/>
                <w:sz w:val="24"/>
                <w:szCs w:val="24"/>
                <w:lang w:val="en-US" w:eastAsia="zh-CN"/>
              </w:rPr>
              <w:t>12</w:t>
            </w:r>
          </w:p>
        </w:tc>
        <w:tc>
          <w:tcPr>
            <w:tcW w:w="4575" w:type="pct"/>
            <w:noWrap w:val="0"/>
            <w:vAlign w:val="top"/>
          </w:tcPr>
          <w:p w14:paraId="56A27E25">
            <w:pPr>
              <w:pageBreakBefore w:val="0"/>
              <w:kinsoku/>
              <w:overflowPunct/>
              <w:topLinePunct w:val="0"/>
              <w:bidi w:val="0"/>
              <w:spacing w:line="360" w:lineRule="auto"/>
              <w:jc w:val="left"/>
              <w:rPr>
                <w:color w:val="auto"/>
                <w:sz w:val="24"/>
                <w:szCs w:val="24"/>
              </w:rPr>
            </w:pPr>
            <w:r>
              <w:rPr>
                <w:rFonts w:hint="eastAsia"/>
                <w:color w:val="auto"/>
                <w:sz w:val="24"/>
                <w:szCs w:val="24"/>
              </w:rPr>
              <w:t>具备法律、行政法规规定的其他条件的证明材料。</w:t>
            </w:r>
          </w:p>
        </w:tc>
      </w:tr>
      <w:tr w14:paraId="51DD7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95141DB">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13</w:t>
            </w:r>
          </w:p>
        </w:tc>
        <w:tc>
          <w:tcPr>
            <w:tcW w:w="4575" w:type="pct"/>
            <w:noWrap w:val="0"/>
            <w:vAlign w:val="top"/>
          </w:tcPr>
          <w:p w14:paraId="2DA81B17">
            <w:pPr>
              <w:pageBreakBefore w:val="0"/>
              <w:kinsoku/>
              <w:overflowPunct/>
              <w:topLinePunct w:val="0"/>
              <w:bidi w:val="0"/>
              <w:spacing w:line="360" w:lineRule="auto"/>
              <w:jc w:val="left"/>
              <w:rPr>
                <w:rFonts w:hint="eastAsia"/>
                <w:color w:val="auto"/>
                <w:sz w:val="24"/>
                <w:szCs w:val="24"/>
              </w:rPr>
            </w:pPr>
            <w:r>
              <w:rPr>
                <w:rFonts w:hint="eastAsia"/>
                <w:color w:val="auto"/>
                <w:sz w:val="24"/>
                <w:szCs w:val="24"/>
              </w:rPr>
              <w:t>落实政府采购政策需满足的资格要求：</w:t>
            </w:r>
            <w:r>
              <w:rPr>
                <w:rFonts w:hint="eastAsia" w:asciiTheme="minorEastAsia" w:hAnsiTheme="minorEastAsia" w:eastAsiaTheme="minorEastAsia" w:cstheme="minorEastAsia"/>
                <w:i w:val="0"/>
                <w:caps w:val="0"/>
                <w:color w:val="auto"/>
                <w:spacing w:val="0"/>
                <w:sz w:val="24"/>
                <w:szCs w:val="24"/>
                <w:highlight w:val="none"/>
                <w:shd w:val="clear" w:fill="FFFFFF"/>
                <w:lang w:eastAsia="zh-CN"/>
              </w:rPr>
              <w:t>本项目专门面向中小企业</w:t>
            </w:r>
            <w:r>
              <w:rPr>
                <w:rFonts w:hint="eastAsia"/>
                <w:color w:val="auto"/>
                <w:sz w:val="24"/>
                <w:szCs w:val="24"/>
              </w:rPr>
              <w:t>。</w:t>
            </w:r>
          </w:p>
        </w:tc>
      </w:tr>
      <w:tr w14:paraId="6094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BD4CC94">
            <w:pPr>
              <w:pageBreakBefore w:val="0"/>
              <w:kinsoku/>
              <w:overflowPunct/>
              <w:topLinePunct w:val="0"/>
              <w:bidi w:val="0"/>
              <w:spacing w:line="360" w:lineRule="auto"/>
              <w:jc w:val="center"/>
              <w:rPr>
                <w:rFonts w:hint="default" w:eastAsia="宋体"/>
                <w:color w:val="auto"/>
                <w:sz w:val="24"/>
                <w:szCs w:val="24"/>
                <w:lang w:val="en-US" w:eastAsia="zh-CN"/>
              </w:rPr>
            </w:pPr>
            <w:r>
              <w:rPr>
                <w:rFonts w:hint="eastAsia"/>
                <w:color w:val="auto"/>
                <w:sz w:val="24"/>
                <w:szCs w:val="24"/>
                <w:lang w:val="en-US" w:eastAsia="zh-CN"/>
              </w:rPr>
              <w:t>14</w:t>
            </w:r>
          </w:p>
        </w:tc>
        <w:tc>
          <w:tcPr>
            <w:tcW w:w="4575" w:type="pct"/>
            <w:noWrap w:val="0"/>
            <w:vAlign w:val="top"/>
          </w:tcPr>
          <w:p w14:paraId="14F27BCF">
            <w:pPr>
              <w:pageBreakBefore w:val="0"/>
              <w:kinsoku/>
              <w:overflowPunct/>
              <w:topLinePunct w:val="0"/>
              <w:bidi w:val="0"/>
              <w:spacing w:line="360" w:lineRule="auto"/>
              <w:jc w:val="left"/>
              <w:rPr>
                <w:color w:val="auto"/>
                <w:sz w:val="24"/>
                <w:szCs w:val="24"/>
              </w:rPr>
            </w:pPr>
            <w:r>
              <w:rPr>
                <w:rFonts w:hint="eastAsia"/>
                <w:color w:val="auto"/>
                <w:sz w:val="24"/>
                <w:szCs w:val="24"/>
              </w:rPr>
              <w:t>未被列入“信用中国”、“中国政府采购网”失信被执行人、重大税收违法案件当事人名单、政府采购严重违法失信行为记录名单</w:t>
            </w:r>
            <w:r>
              <w:rPr>
                <w:color w:val="auto"/>
                <w:sz w:val="24"/>
                <w:szCs w:val="24"/>
              </w:rPr>
              <w:t>的网页打印件及书面声明</w:t>
            </w:r>
          </w:p>
        </w:tc>
      </w:tr>
      <w:tr w14:paraId="7E509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69C8D53A">
            <w:pPr>
              <w:pageBreakBefore w:val="0"/>
              <w:kinsoku/>
              <w:overflowPunct/>
              <w:topLinePunct w:val="0"/>
              <w:bidi w:val="0"/>
              <w:spacing w:line="360" w:lineRule="auto"/>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15</w:t>
            </w:r>
          </w:p>
        </w:tc>
        <w:tc>
          <w:tcPr>
            <w:tcW w:w="4575" w:type="pct"/>
            <w:noWrap w:val="0"/>
            <w:vAlign w:val="top"/>
          </w:tcPr>
          <w:p w14:paraId="2C0F0220">
            <w:pPr>
              <w:pageBreakBefore w:val="0"/>
              <w:kinsoku/>
              <w:overflowPunct/>
              <w:topLinePunct w:val="0"/>
              <w:bidi w:val="0"/>
              <w:spacing w:line="360" w:lineRule="auto"/>
              <w:jc w:val="left"/>
              <w:rPr>
                <w:rFonts w:hint="eastAsia" w:eastAsia="宋体" w:cs="Times New Roman"/>
                <w:color w:val="auto"/>
                <w:sz w:val="24"/>
                <w:szCs w:val="24"/>
              </w:rPr>
            </w:pPr>
            <w:r>
              <w:rPr>
                <w:rFonts w:hint="eastAsia" w:eastAsia="宋体" w:cs="Times New Roman"/>
                <w:color w:val="auto"/>
                <w:sz w:val="24"/>
                <w:szCs w:val="24"/>
                <w:lang w:val="en-US" w:eastAsia="zh-CN"/>
              </w:rPr>
              <w:t>磋商文件第一章“申请人的资格要求”中有特殊要求的，供应商应提供其符合特殊要求的证明材料或者情况说明；</w:t>
            </w:r>
          </w:p>
        </w:tc>
      </w:tr>
      <w:tr w14:paraId="2FA73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2D8914F6">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16</w:t>
            </w:r>
          </w:p>
        </w:tc>
        <w:tc>
          <w:tcPr>
            <w:tcW w:w="4575" w:type="pct"/>
            <w:noWrap w:val="0"/>
            <w:vAlign w:val="top"/>
          </w:tcPr>
          <w:p w14:paraId="69B7AC53">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响应文件有效期</w:t>
            </w:r>
          </w:p>
        </w:tc>
      </w:tr>
      <w:tr w14:paraId="0A4E9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53652F3">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17</w:t>
            </w:r>
          </w:p>
        </w:tc>
        <w:tc>
          <w:tcPr>
            <w:tcW w:w="4575" w:type="pct"/>
            <w:noWrap w:val="0"/>
            <w:vAlign w:val="top"/>
          </w:tcPr>
          <w:p w14:paraId="68619DEA">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总报价</w:t>
            </w:r>
            <w:r>
              <w:rPr>
                <w:rFonts w:hint="eastAsia"/>
                <w:color w:val="auto"/>
                <w:sz w:val="24"/>
                <w:szCs w:val="24"/>
                <w:lang w:val="en-US" w:eastAsia="zh-CN"/>
              </w:rPr>
              <w:t>未</w:t>
            </w:r>
            <w:r>
              <w:rPr>
                <w:rFonts w:hint="eastAsia"/>
                <w:color w:val="auto"/>
                <w:sz w:val="24"/>
                <w:szCs w:val="24"/>
              </w:rPr>
              <w:t>超过项目最高限价的；</w:t>
            </w:r>
          </w:p>
        </w:tc>
      </w:tr>
      <w:tr w14:paraId="0888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8BB3526">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18</w:t>
            </w:r>
          </w:p>
        </w:tc>
        <w:tc>
          <w:tcPr>
            <w:tcW w:w="4575" w:type="pct"/>
            <w:noWrap w:val="0"/>
            <w:vAlign w:val="top"/>
          </w:tcPr>
          <w:p w14:paraId="151B7F65">
            <w:pPr>
              <w:pageBreakBefore w:val="0"/>
              <w:kinsoku/>
              <w:overflowPunct/>
              <w:topLinePunct w:val="0"/>
              <w:bidi w:val="0"/>
              <w:spacing w:line="360" w:lineRule="auto"/>
              <w:rPr>
                <w:rFonts w:hint="eastAsia" w:ascii="Times New Roman" w:hAnsi="宋体" w:cs="Times New Roman"/>
                <w:color w:val="auto"/>
                <w:sz w:val="24"/>
                <w:szCs w:val="24"/>
              </w:rPr>
            </w:pPr>
            <w:r>
              <w:rPr>
                <w:rFonts w:hint="eastAsia"/>
                <w:color w:val="auto"/>
                <w:sz w:val="24"/>
                <w:szCs w:val="24"/>
              </w:rPr>
              <w:t>本项目不接受联合体</w:t>
            </w:r>
          </w:p>
        </w:tc>
      </w:tr>
      <w:tr w14:paraId="0AB82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4362D92B">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19</w:t>
            </w:r>
          </w:p>
        </w:tc>
        <w:tc>
          <w:tcPr>
            <w:tcW w:w="4575" w:type="pct"/>
            <w:noWrap w:val="0"/>
            <w:vAlign w:val="top"/>
          </w:tcPr>
          <w:p w14:paraId="6E87A30A">
            <w:pPr>
              <w:pageBreakBefore w:val="0"/>
              <w:kinsoku/>
              <w:overflowPunct/>
              <w:topLinePunct w:val="0"/>
              <w:bidi w:val="0"/>
              <w:spacing w:line="360" w:lineRule="auto"/>
              <w:rPr>
                <w:rFonts w:hint="eastAsia"/>
                <w:color w:val="auto"/>
                <w:sz w:val="24"/>
                <w:szCs w:val="24"/>
              </w:rPr>
            </w:pPr>
            <w:r>
              <w:rPr>
                <w:rFonts w:hint="eastAsia"/>
                <w:color w:val="auto"/>
                <w:sz w:val="24"/>
                <w:szCs w:val="24"/>
              </w:rPr>
              <w:t>本项目不允许分包</w:t>
            </w:r>
          </w:p>
        </w:tc>
      </w:tr>
      <w:tr w14:paraId="1214C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5AE70EC0">
            <w:pPr>
              <w:pageBreakBefore w:val="0"/>
              <w:kinsoku/>
              <w:overflowPunct/>
              <w:topLinePunct w:val="0"/>
              <w:bidi w:val="0"/>
              <w:spacing w:line="360" w:lineRule="auto"/>
              <w:jc w:val="center"/>
              <w:rPr>
                <w:rFonts w:hint="default"/>
                <w:color w:val="auto"/>
                <w:sz w:val="24"/>
                <w:szCs w:val="24"/>
                <w:lang w:val="en-US" w:eastAsia="zh-CN"/>
              </w:rPr>
            </w:pPr>
            <w:r>
              <w:rPr>
                <w:rFonts w:hint="eastAsia"/>
                <w:color w:val="auto"/>
                <w:sz w:val="24"/>
                <w:szCs w:val="24"/>
                <w:lang w:val="en-US" w:eastAsia="zh-CN"/>
              </w:rPr>
              <w:t>20</w:t>
            </w:r>
          </w:p>
        </w:tc>
        <w:tc>
          <w:tcPr>
            <w:tcW w:w="4575" w:type="pct"/>
            <w:noWrap w:val="0"/>
            <w:vAlign w:val="top"/>
          </w:tcPr>
          <w:p w14:paraId="32AB4BB7">
            <w:pPr>
              <w:pageBreakBefore w:val="0"/>
              <w:kinsoku/>
              <w:overflowPunct/>
              <w:topLinePunct w:val="0"/>
              <w:bidi w:val="0"/>
              <w:spacing w:line="360" w:lineRule="auto"/>
              <w:rPr>
                <w:rFonts w:hint="eastAsia"/>
                <w:color w:val="auto"/>
                <w:sz w:val="24"/>
                <w:szCs w:val="24"/>
              </w:rPr>
            </w:pPr>
            <w:r>
              <w:rPr>
                <w:rFonts w:hint="eastAsia"/>
                <w:color w:val="auto"/>
                <w:sz w:val="24"/>
                <w:szCs w:val="24"/>
              </w:rPr>
              <w:t>本项目不提供备选方案</w:t>
            </w:r>
          </w:p>
        </w:tc>
      </w:tr>
      <w:tr w14:paraId="1E455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noWrap w:val="0"/>
            <w:vAlign w:val="center"/>
          </w:tcPr>
          <w:p w14:paraId="790E4A50">
            <w:pPr>
              <w:pageBreakBefore w:val="0"/>
              <w:kinsoku/>
              <w:overflowPunct/>
              <w:topLinePunct w:val="0"/>
              <w:bidi w:val="0"/>
              <w:spacing w:line="360" w:lineRule="auto"/>
              <w:jc w:val="center"/>
              <w:rPr>
                <w:rFonts w:hint="default" w:eastAsia="宋体" w:cs="Times New Roman"/>
                <w:color w:val="auto"/>
                <w:sz w:val="24"/>
                <w:szCs w:val="24"/>
                <w:lang w:val="en-US" w:eastAsia="zh-CN"/>
              </w:rPr>
            </w:pPr>
            <w:r>
              <w:rPr>
                <w:rFonts w:hint="eastAsia" w:eastAsia="宋体" w:cs="Times New Roman"/>
                <w:color w:val="auto"/>
                <w:sz w:val="24"/>
                <w:szCs w:val="24"/>
                <w:lang w:val="en-US" w:eastAsia="zh-CN"/>
              </w:rPr>
              <w:t>21</w:t>
            </w:r>
          </w:p>
        </w:tc>
        <w:tc>
          <w:tcPr>
            <w:tcW w:w="4575" w:type="pct"/>
            <w:noWrap w:val="0"/>
            <w:vAlign w:val="top"/>
          </w:tcPr>
          <w:p w14:paraId="21B561C1">
            <w:pPr>
              <w:pageBreakBefore w:val="0"/>
              <w:kinsoku/>
              <w:overflowPunct/>
              <w:topLinePunct w:val="0"/>
              <w:bidi w:val="0"/>
              <w:spacing w:line="360" w:lineRule="auto"/>
              <w:rPr>
                <w:rFonts w:hint="eastAsia" w:eastAsia="宋体" w:cs="Times New Roman"/>
                <w:color w:val="auto"/>
                <w:sz w:val="24"/>
                <w:szCs w:val="24"/>
                <w:lang w:val="en-US" w:eastAsia="zh-CN"/>
              </w:rPr>
            </w:pPr>
            <w:r>
              <w:rPr>
                <w:rFonts w:hint="eastAsia" w:eastAsia="宋体" w:cs="Times New Roman"/>
                <w:color w:val="auto"/>
                <w:sz w:val="24"/>
                <w:szCs w:val="24"/>
              </w:rPr>
              <w:t>满足招标文件第三章“项目技术、服务和商务要求”中条款要求的；</w:t>
            </w:r>
          </w:p>
        </w:tc>
      </w:tr>
    </w:tbl>
    <w:p w14:paraId="6002360E">
      <w:pPr>
        <w:pStyle w:val="148"/>
        <w:pageBreakBefore w:val="0"/>
        <w:widowControl/>
        <w:kinsoku/>
        <w:overflowPunct/>
        <w:topLinePunct w:val="0"/>
        <w:bidi w:val="0"/>
        <w:snapToGrid w:val="0"/>
        <w:spacing w:before="0" w:beforeAutospacing="0" w:after="0" w:afterAutospacing="0" w:line="360" w:lineRule="auto"/>
        <w:jc w:val="both"/>
        <w:textAlignment w:val="baseline"/>
        <w:rPr>
          <w:rStyle w:val="149"/>
          <w:rFonts w:ascii="Times New Roman" w:hAnsi="Times New Roman"/>
          <w:b w:val="0"/>
          <w:i w:val="0"/>
          <w:caps w:val="0"/>
          <w:color w:val="auto"/>
          <w:spacing w:val="0"/>
          <w:w w:val="100"/>
          <w:kern w:val="2"/>
          <w:sz w:val="21"/>
          <w:szCs w:val="24"/>
          <w:highlight w:val="none"/>
          <w:lang w:val="en-US" w:eastAsia="zh-CN" w:bidi="ar-SA"/>
        </w:rPr>
      </w:pPr>
    </w:p>
    <w:p w14:paraId="01565E32">
      <w:pPr>
        <w:pageBreakBefore w:val="0"/>
        <w:tabs>
          <w:tab w:val="center" w:pos="4422"/>
        </w:tabs>
        <w:kinsoku/>
        <w:overflowPunct/>
        <w:topLinePunct w:val="0"/>
        <w:bidi w:val="0"/>
        <w:spacing w:line="360" w:lineRule="auto"/>
        <w:ind w:firstLine="482" w:firstLineChars="200"/>
        <w:rPr>
          <w:rFonts w:hint="eastAsia" w:ascii="宋体" w:hAnsi="宋体" w:cs="宋体"/>
          <w:b/>
          <w:color w:val="auto"/>
          <w:sz w:val="24"/>
          <w:szCs w:val="24"/>
          <w:highlight w:val="none"/>
        </w:rPr>
      </w:pPr>
      <w:r>
        <w:rPr>
          <w:rFonts w:hint="eastAsia" w:ascii="宋体" w:hAnsi="宋体" w:cs="宋体"/>
          <w:b/>
          <w:color w:val="auto"/>
          <w:sz w:val="24"/>
          <w:szCs w:val="24"/>
          <w:highlight w:val="none"/>
        </w:rPr>
        <w:t>本次磋商采用综合评分法，其中商务部分</w:t>
      </w:r>
      <w:r>
        <w:rPr>
          <w:rFonts w:hint="eastAsia" w:ascii="宋体" w:hAnsi="宋体" w:cs="宋体"/>
          <w:b/>
          <w:color w:val="auto"/>
          <w:sz w:val="24"/>
          <w:szCs w:val="24"/>
          <w:highlight w:val="none"/>
          <w:lang w:val="en-US" w:eastAsia="zh-CN"/>
        </w:rPr>
        <w:t>26</w:t>
      </w:r>
      <w:r>
        <w:rPr>
          <w:rFonts w:hint="eastAsia" w:ascii="宋体" w:hAnsi="宋体" w:cs="宋体"/>
          <w:b/>
          <w:color w:val="auto"/>
          <w:sz w:val="24"/>
          <w:szCs w:val="24"/>
          <w:highlight w:val="none"/>
        </w:rPr>
        <w:t>分，技术、服务部分</w:t>
      </w:r>
      <w:r>
        <w:rPr>
          <w:rFonts w:hint="eastAsia" w:ascii="宋体" w:hAnsi="宋体" w:cs="宋体"/>
          <w:b/>
          <w:color w:val="auto"/>
          <w:sz w:val="24"/>
          <w:szCs w:val="24"/>
          <w:highlight w:val="none"/>
          <w:lang w:val="en-US" w:eastAsia="zh-CN"/>
        </w:rPr>
        <w:t>64</w:t>
      </w:r>
      <w:r>
        <w:rPr>
          <w:rFonts w:hint="eastAsia" w:ascii="宋体" w:hAnsi="宋体" w:cs="宋体"/>
          <w:b/>
          <w:color w:val="auto"/>
          <w:sz w:val="24"/>
          <w:szCs w:val="24"/>
          <w:highlight w:val="none"/>
        </w:rPr>
        <w:t>分，价格部分</w:t>
      </w:r>
      <w:r>
        <w:rPr>
          <w:rFonts w:hint="eastAsia" w:ascii="宋体" w:hAnsi="宋体" w:cs="宋体"/>
          <w:b/>
          <w:color w:val="auto"/>
          <w:sz w:val="24"/>
          <w:szCs w:val="24"/>
          <w:highlight w:val="none"/>
          <w:lang w:val="en-US" w:eastAsia="zh-CN"/>
        </w:rPr>
        <w:t>1</w:t>
      </w:r>
      <w:r>
        <w:rPr>
          <w:rFonts w:hint="eastAsia" w:ascii="宋体" w:hAnsi="宋体" w:cs="宋体"/>
          <w:b/>
          <w:color w:val="auto"/>
          <w:sz w:val="24"/>
          <w:szCs w:val="24"/>
          <w:highlight w:val="none"/>
        </w:rPr>
        <w:t>0分。</w:t>
      </w:r>
    </w:p>
    <w:p w14:paraId="779482B5">
      <w:pPr>
        <w:pageBreakBefore w:val="0"/>
        <w:numPr>
          <w:ilvl w:val="0"/>
          <w:numId w:val="6"/>
        </w:numPr>
        <w:kinsoku/>
        <w:overflowPunct/>
        <w:topLinePunct w:val="0"/>
        <w:bidi w:val="0"/>
        <w:spacing w:before="60" w:after="60" w:line="360" w:lineRule="auto"/>
        <w:ind w:left="-27" w:leftChars="-13"/>
        <w:rPr>
          <w:color w:val="auto"/>
          <w:highlight w:val="none"/>
        </w:rPr>
      </w:pPr>
      <w:r>
        <w:rPr>
          <w:rFonts w:hint="eastAsia" w:ascii="宋体" w:hAnsi="宋体"/>
          <w:b/>
          <w:bCs/>
          <w:color w:val="auto"/>
          <w:sz w:val="24"/>
          <w:szCs w:val="24"/>
          <w:highlight w:val="none"/>
        </w:rPr>
        <w:t>商务评议（</w:t>
      </w:r>
      <w:r>
        <w:rPr>
          <w:rFonts w:hint="eastAsia" w:ascii="宋体" w:hAnsi="宋体" w:cs="Courier New"/>
          <w:b/>
          <w:bCs/>
          <w:color w:val="auto"/>
          <w:sz w:val="24"/>
          <w:szCs w:val="24"/>
          <w:highlight w:val="none"/>
          <w:lang w:val="en-US" w:eastAsia="zh-CN"/>
        </w:rPr>
        <w:t>26</w:t>
      </w:r>
      <w:r>
        <w:rPr>
          <w:rFonts w:hint="eastAsia" w:ascii="宋体" w:hAnsi="宋体" w:cs="Courier New"/>
          <w:b/>
          <w:bCs/>
          <w:color w:val="auto"/>
          <w:sz w:val="24"/>
          <w:szCs w:val="24"/>
          <w:highlight w:val="none"/>
        </w:rPr>
        <w:t>分</w:t>
      </w:r>
      <w:r>
        <w:rPr>
          <w:rFonts w:hint="eastAsia" w:ascii="宋体" w:hAnsi="宋体"/>
          <w:b/>
          <w:bCs/>
          <w:color w:val="auto"/>
          <w:sz w:val="24"/>
          <w:szCs w:val="24"/>
          <w:highlight w:val="none"/>
        </w:rPr>
        <w:t>）</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2"/>
        <w:gridCol w:w="1383"/>
        <w:gridCol w:w="613"/>
        <w:gridCol w:w="6531"/>
      </w:tblGrid>
      <w:tr w14:paraId="0CF24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405" w:type="pct"/>
            <w:shd w:val="pct10" w:color="auto" w:fill="auto"/>
            <w:vAlign w:val="center"/>
          </w:tcPr>
          <w:p w14:paraId="455671A0">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745" w:type="pct"/>
            <w:shd w:val="pct10" w:color="auto" w:fill="auto"/>
            <w:vAlign w:val="center"/>
          </w:tcPr>
          <w:p w14:paraId="34ECE22B">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评审因素</w:t>
            </w:r>
          </w:p>
        </w:tc>
        <w:tc>
          <w:tcPr>
            <w:tcW w:w="330" w:type="pct"/>
            <w:shd w:val="pct10" w:color="auto" w:fill="auto"/>
            <w:vAlign w:val="center"/>
          </w:tcPr>
          <w:p w14:paraId="0694AB68">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分值</w:t>
            </w:r>
          </w:p>
        </w:tc>
        <w:tc>
          <w:tcPr>
            <w:tcW w:w="3517" w:type="pct"/>
            <w:shd w:val="pct10" w:color="auto" w:fill="auto"/>
            <w:vAlign w:val="center"/>
          </w:tcPr>
          <w:p w14:paraId="4E82D373">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评分标准</w:t>
            </w:r>
          </w:p>
        </w:tc>
      </w:tr>
      <w:tr w14:paraId="19970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6" w:hRule="atLeast"/>
          <w:jc w:val="center"/>
        </w:trPr>
        <w:tc>
          <w:tcPr>
            <w:tcW w:w="405" w:type="pct"/>
            <w:vAlign w:val="center"/>
          </w:tcPr>
          <w:p w14:paraId="5A8F8902">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745" w:type="pct"/>
            <w:vAlign w:val="center"/>
          </w:tcPr>
          <w:p w14:paraId="0C820AA8">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类似业绩</w:t>
            </w:r>
          </w:p>
        </w:tc>
        <w:tc>
          <w:tcPr>
            <w:tcW w:w="330" w:type="pct"/>
            <w:vAlign w:val="center"/>
          </w:tcPr>
          <w:p w14:paraId="78719B58">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3517" w:type="pct"/>
            <w:vAlign w:val="center"/>
          </w:tcPr>
          <w:p w14:paraId="3DC28657">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1、供应商提供近三年（以合同签订日期为准）承接的类似项目服务业绩，每提供一个得 2分，最高得 6 分； </w:t>
            </w:r>
          </w:p>
          <w:p w14:paraId="7891DB7D">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2、将污泥作为危险废物处置相关业绩，（提供与第三 </w:t>
            </w:r>
          </w:p>
          <w:p w14:paraId="1F9A9781">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方有处理资质 的单位签订的合同（或协议），医院委托供 </w:t>
            </w:r>
          </w:p>
          <w:p w14:paraId="6349EE11">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应商污泥处置函（或协议）、危险废物转移联单。）提供案列得 2 分。</w:t>
            </w:r>
          </w:p>
        </w:tc>
      </w:tr>
      <w:tr w14:paraId="0D750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3" w:hRule="atLeast"/>
          <w:jc w:val="center"/>
        </w:trPr>
        <w:tc>
          <w:tcPr>
            <w:tcW w:w="405" w:type="pct"/>
            <w:vAlign w:val="center"/>
          </w:tcPr>
          <w:p w14:paraId="49B5A134">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745" w:type="pct"/>
            <w:vAlign w:val="center"/>
          </w:tcPr>
          <w:p w14:paraId="15171841">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供应商综合实力</w:t>
            </w:r>
          </w:p>
        </w:tc>
        <w:tc>
          <w:tcPr>
            <w:tcW w:w="330" w:type="pct"/>
            <w:vAlign w:val="center"/>
          </w:tcPr>
          <w:p w14:paraId="7BCBE2D5">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1</w:t>
            </w:r>
            <w:r>
              <w:rPr>
                <w:rFonts w:hint="eastAsia" w:ascii="宋体" w:hAnsi="宋体" w:cs="宋体"/>
                <w:color w:val="auto"/>
                <w:sz w:val="24"/>
                <w:szCs w:val="24"/>
                <w:highlight w:val="none"/>
                <w:lang w:val="en-US" w:eastAsia="zh-CN"/>
              </w:rPr>
              <w:t>2</w:t>
            </w:r>
          </w:p>
        </w:tc>
        <w:tc>
          <w:tcPr>
            <w:tcW w:w="3517" w:type="pct"/>
            <w:vAlign w:val="center"/>
          </w:tcPr>
          <w:p w14:paraId="5F43D612">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供应商服务技术人员满足下面条件的：</w:t>
            </w:r>
          </w:p>
          <w:p w14:paraId="174C1B1A">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1、污水处理站运营服务人员具备省级及以上行业部门颁发的污废水处理工培训考试合格证书得2分；</w:t>
            </w:r>
          </w:p>
          <w:p w14:paraId="54091475">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2、在线监测系统运维服务人员具备省级及以上行业部门颁发的的自动监控（污废水）运行工证，得2分；</w:t>
            </w:r>
          </w:p>
          <w:p w14:paraId="5C8620F2">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3、项目负责人具有环境工程本科及以上学历和中级及以上职称者得2分。</w:t>
            </w:r>
          </w:p>
          <w:p w14:paraId="7A275903">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4、排污许可证检测及网报综合服务人员具备专业培训考核合格证，出具CMA认证的检测报告，并在各环保平台上填报数据。提供案例得2分。</w:t>
            </w:r>
          </w:p>
          <w:p w14:paraId="00F2E9A8">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5、具有环保二级及以上资质得</w:t>
            </w:r>
            <w:r>
              <w:rPr>
                <w:rFonts w:hint="eastAsia" w:ascii="宋体" w:hAnsi="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lang w:eastAsia="zh-CN"/>
              </w:rPr>
              <w:t>分</w:t>
            </w:r>
          </w:p>
          <w:p w14:paraId="652E1627">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6、具有省级及以上废水设施运维资质证书得</w:t>
            </w:r>
            <w:r>
              <w:rPr>
                <w:rFonts w:hint="eastAsia" w:ascii="宋体" w:hAnsi="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lang w:eastAsia="zh-CN"/>
              </w:rPr>
              <w:t>分</w:t>
            </w:r>
          </w:p>
          <w:p w14:paraId="27DEEA27">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7、具有废水治理设施运维管理规范团体标准得</w:t>
            </w:r>
            <w:r>
              <w:rPr>
                <w:rFonts w:hint="eastAsia" w:ascii="宋体" w:hAnsi="宋体" w:cs="宋体"/>
                <w:strike w:val="0"/>
                <w:dstrike w:val="0"/>
                <w:color w:val="auto"/>
                <w:sz w:val="24"/>
                <w:szCs w:val="24"/>
                <w:highlight w:val="none"/>
                <w:lang w:val="en-US" w:eastAsia="zh-CN"/>
              </w:rPr>
              <w:t>1</w:t>
            </w:r>
            <w:r>
              <w:rPr>
                <w:rFonts w:hint="eastAsia" w:ascii="宋体" w:hAnsi="宋体" w:eastAsia="宋体" w:cs="宋体"/>
                <w:strike w:val="0"/>
                <w:dstrike w:val="0"/>
                <w:color w:val="auto"/>
                <w:sz w:val="24"/>
                <w:szCs w:val="24"/>
                <w:highlight w:val="none"/>
                <w:lang w:eastAsia="zh-CN"/>
              </w:rPr>
              <w:t>分。</w:t>
            </w:r>
          </w:p>
          <w:p w14:paraId="681E40E9">
            <w:pPr>
              <w:pageBreakBefore w:val="0"/>
              <w:numPr>
                <w:ilvl w:val="0"/>
                <w:numId w:val="0"/>
              </w:numPr>
              <w:kinsoku/>
              <w:overflowPunct/>
              <w:topLinePunct w:val="0"/>
              <w:bidi w:val="0"/>
              <w:spacing w:before="60" w:after="60" w:line="360" w:lineRule="auto"/>
              <w:rPr>
                <w:rFonts w:hint="eastAsia" w:ascii="宋体" w:hAnsi="宋体" w:eastAsia="宋体" w:cs="宋体"/>
                <w:strike w:val="0"/>
                <w:dstrike w:val="0"/>
                <w:color w:val="auto"/>
                <w:sz w:val="24"/>
                <w:szCs w:val="24"/>
                <w:highlight w:val="none"/>
                <w:lang w:eastAsia="zh-CN"/>
              </w:rPr>
            </w:pPr>
            <w:r>
              <w:rPr>
                <w:rFonts w:hint="eastAsia" w:ascii="宋体" w:hAnsi="宋体" w:eastAsia="宋体" w:cs="宋体"/>
                <w:strike w:val="0"/>
                <w:dstrike w:val="0"/>
                <w:color w:val="auto"/>
                <w:sz w:val="24"/>
                <w:szCs w:val="24"/>
                <w:highlight w:val="none"/>
                <w:lang w:eastAsia="zh-CN"/>
              </w:rPr>
              <w:t>8、具有危化品安全生产知识和管理能力考核合格证得 1分。</w:t>
            </w:r>
          </w:p>
          <w:p w14:paraId="3A142C31">
            <w:pPr>
              <w:pageBreakBefore w:val="0"/>
              <w:numPr>
                <w:ilvl w:val="0"/>
                <w:numId w:val="0"/>
              </w:numPr>
              <w:kinsoku/>
              <w:overflowPunct/>
              <w:topLinePunct w:val="0"/>
              <w:bidi w:val="0"/>
              <w:spacing w:before="60" w:after="6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具有上述各项要求，如1个人员同时满足以上多个要求，可重复计分。（提供服务技术人员要求的各项证件证明复印件，所有相关人员提供磋商截止时间前6个月内任意1个月的社保证明材料复印件，未提供不得分）</w:t>
            </w:r>
            <w:r>
              <w:rPr>
                <w:rFonts w:hint="eastAsia" w:ascii="宋体" w:hAnsi="宋体" w:cs="宋体"/>
                <w:color w:val="auto"/>
                <w:sz w:val="24"/>
                <w:szCs w:val="24"/>
                <w:highlight w:val="none"/>
                <w:lang w:eastAsia="zh-CN"/>
              </w:rPr>
              <w:t>。</w:t>
            </w:r>
          </w:p>
        </w:tc>
      </w:tr>
      <w:tr w14:paraId="43B21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762" w:hRule="atLeast"/>
          <w:jc w:val="center"/>
        </w:trPr>
        <w:tc>
          <w:tcPr>
            <w:tcW w:w="405" w:type="pct"/>
            <w:vAlign w:val="center"/>
          </w:tcPr>
          <w:p w14:paraId="7C7ACB99">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rPr>
            </w:pPr>
          </w:p>
        </w:tc>
        <w:tc>
          <w:tcPr>
            <w:tcW w:w="745" w:type="pct"/>
            <w:vAlign w:val="center"/>
          </w:tcPr>
          <w:p w14:paraId="68284343">
            <w:pPr>
              <w:keepNext w:val="0"/>
              <w:keepLines w:val="0"/>
              <w:widowControl/>
              <w:suppressLineNumbers w:val="0"/>
              <w:jc w:val="left"/>
              <w:rPr>
                <w:color w:val="auto"/>
              </w:rPr>
            </w:pPr>
            <w:r>
              <w:rPr>
                <w:rFonts w:hint="eastAsia" w:ascii="宋体" w:hAnsi="宋体" w:eastAsia="宋体" w:cs="宋体"/>
                <w:color w:val="auto"/>
                <w:kern w:val="0"/>
                <w:sz w:val="24"/>
                <w:szCs w:val="24"/>
                <w:lang w:val="en-US" w:eastAsia="zh-CN" w:bidi="ar"/>
              </w:rPr>
              <w:t>人员配备</w:t>
            </w:r>
          </w:p>
          <w:p w14:paraId="6D1CD3C7">
            <w:pPr>
              <w:pageBreakBefore w:val="0"/>
              <w:numPr>
                <w:ilvl w:val="0"/>
                <w:numId w:val="0"/>
              </w:numPr>
              <w:kinsoku/>
              <w:overflowPunct/>
              <w:topLinePunct w:val="0"/>
              <w:bidi w:val="0"/>
              <w:spacing w:before="60" w:after="60" w:line="360" w:lineRule="auto"/>
              <w:rPr>
                <w:rFonts w:hint="eastAsia" w:ascii="宋体" w:hAnsi="宋体" w:eastAsia="宋体" w:cs="宋体"/>
                <w:color w:val="auto"/>
                <w:sz w:val="24"/>
                <w:szCs w:val="24"/>
                <w:highlight w:val="none"/>
              </w:rPr>
            </w:pPr>
          </w:p>
        </w:tc>
        <w:tc>
          <w:tcPr>
            <w:tcW w:w="330" w:type="pct"/>
            <w:vAlign w:val="center"/>
          </w:tcPr>
          <w:p w14:paraId="4567FB2B">
            <w:pPr>
              <w:pageBreakBefore w:val="0"/>
              <w:numPr>
                <w:ilvl w:val="0"/>
                <w:numId w:val="0"/>
              </w:numPr>
              <w:kinsoku/>
              <w:overflowPunct/>
              <w:topLinePunct w:val="0"/>
              <w:bidi w:val="0"/>
              <w:spacing w:before="60" w:after="60" w:line="360" w:lineRule="auto"/>
              <w:jc w:val="center"/>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3517" w:type="pct"/>
            <w:vAlign w:val="center"/>
          </w:tcPr>
          <w:p w14:paraId="2DE7BD61">
            <w:pPr>
              <w:keepNext w:val="0"/>
              <w:keepLines w:val="0"/>
              <w:widowControl/>
              <w:suppressLineNumbers w:val="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lang w:val="en-US" w:eastAsia="zh-CN" w:bidi="ar"/>
              </w:rPr>
              <w:t xml:space="preserve">根据投标人提供的污水处理运维服务人员配备情况评分，人员配备齐全、分工明确、岗位设置合理，方案完整、合理、针对性强，完全满足服务需求的得 6 分；人员配备基本齐全、分工基本明确、岗位设置基本合理，方案基本完整、合理、可行，基本满足服务需求的得 5 分；人员配备不合理、分工不明确、岗位设置不合理，方案内容简单有缺陷，不完全符合实际要求的得 3 分；未提供不得分。 </w:t>
            </w:r>
          </w:p>
        </w:tc>
      </w:tr>
    </w:tbl>
    <w:p w14:paraId="138697C0">
      <w:pPr>
        <w:pageBreakBefore w:val="0"/>
        <w:numPr>
          <w:ilvl w:val="0"/>
          <w:numId w:val="0"/>
        </w:numPr>
        <w:kinsoku/>
        <w:overflowPunct/>
        <w:topLinePunct w:val="0"/>
        <w:bidi w:val="0"/>
        <w:spacing w:before="60" w:after="60" w:line="360" w:lineRule="auto"/>
        <w:rPr>
          <w:color w:val="auto"/>
          <w:highlight w:val="none"/>
        </w:rPr>
      </w:pPr>
    </w:p>
    <w:p w14:paraId="357AF0F8">
      <w:pPr>
        <w:pageBreakBefore w:val="0"/>
        <w:numPr>
          <w:ilvl w:val="0"/>
          <w:numId w:val="7"/>
        </w:numPr>
        <w:kinsoku/>
        <w:overflowPunct/>
        <w:topLinePunct w:val="0"/>
        <w:bidi w:val="0"/>
        <w:spacing w:before="60" w:after="60" w:line="360" w:lineRule="auto"/>
        <w:rPr>
          <w:rFonts w:hint="eastAsia" w:ascii="宋体" w:hAnsi="宋体"/>
          <w:b/>
          <w:bCs/>
          <w:color w:val="auto"/>
          <w:sz w:val="24"/>
          <w:szCs w:val="24"/>
          <w:highlight w:val="none"/>
        </w:rPr>
      </w:pPr>
      <w:r>
        <w:rPr>
          <w:rFonts w:hint="eastAsia" w:ascii="宋体" w:hAnsi="宋体"/>
          <w:b/>
          <w:bCs/>
          <w:color w:val="auto"/>
          <w:sz w:val="24"/>
          <w:szCs w:val="24"/>
          <w:highlight w:val="none"/>
        </w:rPr>
        <w:t>技术、服务评议（</w:t>
      </w:r>
      <w:r>
        <w:rPr>
          <w:rFonts w:hint="eastAsia" w:ascii="宋体" w:hAnsi="宋体"/>
          <w:b/>
          <w:bCs/>
          <w:color w:val="auto"/>
          <w:sz w:val="24"/>
          <w:szCs w:val="24"/>
          <w:highlight w:val="none"/>
          <w:lang w:val="en-US" w:eastAsia="zh-CN"/>
        </w:rPr>
        <w:t>64</w:t>
      </w:r>
      <w:r>
        <w:rPr>
          <w:rFonts w:hint="eastAsia" w:ascii="宋体" w:hAnsi="宋体"/>
          <w:b/>
          <w:bCs/>
          <w:color w:val="auto"/>
          <w:sz w:val="24"/>
          <w:szCs w:val="24"/>
          <w:highlight w:val="none"/>
        </w:rPr>
        <w:t>分）</w:t>
      </w:r>
    </w:p>
    <w:tbl>
      <w:tblPr>
        <w:tblStyle w:val="3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1134"/>
        <w:gridCol w:w="718"/>
        <w:gridCol w:w="6690"/>
      </w:tblGrid>
      <w:tr w14:paraId="5D85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397" w:type="pct"/>
            <w:shd w:val="pct10" w:color="auto" w:fill="auto"/>
            <w:vAlign w:val="center"/>
          </w:tcPr>
          <w:p w14:paraId="3A04332C">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序号</w:t>
            </w:r>
          </w:p>
        </w:tc>
        <w:tc>
          <w:tcPr>
            <w:tcW w:w="611" w:type="pct"/>
            <w:shd w:val="pct10" w:color="auto" w:fill="auto"/>
            <w:vAlign w:val="center"/>
          </w:tcPr>
          <w:p w14:paraId="3357B824">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评审</w:t>
            </w:r>
          </w:p>
          <w:p w14:paraId="49F7CAB0">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因素</w:t>
            </w:r>
          </w:p>
        </w:tc>
        <w:tc>
          <w:tcPr>
            <w:tcW w:w="387" w:type="pct"/>
            <w:shd w:val="pct10" w:color="auto" w:fill="auto"/>
            <w:vAlign w:val="center"/>
          </w:tcPr>
          <w:p w14:paraId="0FA84CC8">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分值</w:t>
            </w:r>
          </w:p>
        </w:tc>
        <w:tc>
          <w:tcPr>
            <w:tcW w:w="3604" w:type="pct"/>
            <w:shd w:val="pct10" w:color="auto" w:fill="auto"/>
            <w:vAlign w:val="center"/>
          </w:tcPr>
          <w:p w14:paraId="14559CB8">
            <w:pPr>
              <w:pageBreakBefore w:val="0"/>
              <w:kinsoku/>
              <w:overflowPunct/>
              <w:topLinePunct w:val="0"/>
              <w:bidi w:val="0"/>
              <w:spacing w:before="60" w:after="60"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评分标准</w:t>
            </w:r>
          </w:p>
        </w:tc>
      </w:tr>
      <w:tr w14:paraId="2B1AE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97" w:type="pct"/>
            <w:vMerge w:val="restart"/>
            <w:vAlign w:val="center"/>
          </w:tcPr>
          <w:p w14:paraId="6E79EBC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2.1</w:t>
            </w:r>
          </w:p>
        </w:tc>
        <w:tc>
          <w:tcPr>
            <w:tcW w:w="611" w:type="pct"/>
            <w:vMerge w:val="restart"/>
            <w:vAlign w:val="center"/>
          </w:tcPr>
          <w:p w14:paraId="4A3F54B3">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信息化提升技术能力</w:t>
            </w:r>
          </w:p>
        </w:tc>
        <w:tc>
          <w:tcPr>
            <w:tcW w:w="387" w:type="pct"/>
            <w:vAlign w:val="center"/>
          </w:tcPr>
          <w:p w14:paraId="5E0132F8">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707E9FBA">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供应商拥有环保水处理实时监控系统软件国家版权局著作权登记证；能提供正在运行案例的手机APP运行界面截图，供应商承诺长期为医院免费提供相关服务。各项目符合要求得基本分5分；（未提供不得分）</w:t>
            </w:r>
          </w:p>
        </w:tc>
      </w:tr>
      <w:tr w14:paraId="4D7CA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397" w:type="pct"/>
            <w:vMerge w:val="continue"/>
            <w:vAlign w:val="center"/>
          </w:tcPr>
          <w:p w14:paraId="48DACF39">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3D94C00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7CE3ADFB">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752D15F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供应商免费提供能显著提升本项目污水站运营信息化水平的智能化操作控制系统。智能化操作系统满足污水站设备手动/联动/自动控制/手机远程操作控制，支持院方管理人员通过手机APP对污水站设备运行状态、运行数据及在线监测数据实时监管。提供智能化操作控制系统的技术说明方案，功能满足采购方技术要求且实时性强的加5分；功能基本满足采购方技术要求加3分。</w:t>
            </w:r>
          </w:p>
        </w:tc>
      </w:tr>
      <w:tr w14:paraId="18761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397" w:type="pct"/>
            <w:vMerge w:val="restart"/>
            <w:vAlign w:val="center"/>
          </w:tcPr>
          <w:p w14:paraId="0E2D696A">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2.2</w:t>
            </w:r>
          </w:p>
        </w:tc>
        <w:tc>
          <w:tcPr>
            <w:tcW w:w="611" w:type="pct"/>
            <w:vMerge w:val="restart"/>
            <w:vAlign w:val="center"/>
          </w:tcPr>
          <w:p w14:paraId="053BB36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全责环保综合服务方案</w:t>
            </w:r>
          </w:p>
        </w:tc>
        <w:tc>
          <w:tcPr>
            <w:tcW w:w="387" w:type="pct"/>
            <w:vAlign w:val="center"/>
          </w:tcPr>
          <w:p w14:paraId="7C410FDE">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10</w:t>
            </w:r>
          </w:p>
        </w:tc>
        <w:tc>
          <w:tcPr>
            <w:tcW w:w="3604" w:type="pct"/>
            <w:vAlign w:val="center"/>
          </w:tcPr>
          <w:p w14:paraId="0DEF84E6">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污水处理站运营服务方案评分。方案内容包括但不限于：污水站基本情况分析；污水站运行维护主要管理制度；污水站各工艺单元运行管理；污水站各设备操作规程、日常保养维修、常见故障分析及排除方法、运营台账及信息化数据管理措施、污水站运行维保的质量安全及环保措施等。（方案完整且内容详细，合理，可操作性强得10分，内容基本涵盖，基本满足项目实际情况，得7分；内容欠合理，与项目特点存在差异，得5分；未提供不得分。）</w:t>
            </w:r>
          </w:p>
        </w:tc>
      </w:tr>
      <w:tr w14:paraId="632BF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397" w:type="pct"/>
            <w:vMerge w:val="continue"/>
            <w:vAlign w:val="center"/>
          </w:tcPr>
          <w:p w14:paraId="48D5AD58">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589FC40B">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641519E7">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5D0B1F73">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2、在线监测设备运维服务方案评分。（方案完整且内容详细，合理，可操作性强得5分，内容基本涵盖，基本满足项目实际情况，得4分；内容欠合理，与项目特点存在差异，得3分；未提供不得分。）</w:t>
            </w:r>
          </w:p>
        </w:tc>
      </w:tr>
      <w:tr w14:paraId="227AD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397" w:type="pct"/>
            <w:vMerge w:val="continue"/>
            <w:vAlign w:val="center"/>
          </w:tcPr>
          <w:p w14:paraId="1200E8E4">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692CD246">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0600102E">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5</w:t>
            </w:r>
          </w:p>
        </w:tc>
        <w:tc>
          <w:tcPr>
            <w:tcW w:w="3604" w:type="pct"/>
            <w:vAlign w:val="center"/>
          </w:tcPr>
          <w:p w14:paraId="6EA7294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3、排污许可证环境检测及网报全责综合服务方案评分。（方案完整且内容详细，合理，可操作性强得5分，内容基本涵盖，基本满足项目实际情况，得4分；内容欠合理，与项目特点存在差异，得3分；未提供不得分。）</w:t>
            </w:r>
          </w:p>
        </w:tc>
      </w:tr>
      <w:tr w14:paraId="723BB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 w:type="pct"/>
            <w:vAlign w:val="center"/>
          </w:tcPr>
          <w:p w14:paraId="1980A102">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2.3</w:t>
            </w:r>
          </w:p>
        </w:tc>
        <w:tc>
          <w:tcPr>
            <w:tcW w:w="611" w:type="pct"/>
            <w:vAlign w:val="center"/>
          </w:tcPr>
          <w:p w14:paraId="304119C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质量、安全、环保措施</w:t>
            </w:r>
          </w:p>
        </w:tc>
        <w:tc>
          <w:tcPr>
            <w:tcW w:w="387" w:type="pct"/>
            <w:vAlign w:val="center"/>
          </w:tcPr>
          <w:p w14:paraId="782A14FD">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10</w:t>
            </w:r>
          </w:p>
        </w:tc>
        <w:tc>
          <w:tcPr>
            <w:tcW w:w="3604" w:type="pct"/>
            <w:vAlign w:val="center"/>
          </w:tcPr>
          <w:p w14:paraId="3CD614D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b w:val="0"/>
                <w:bCs w:val="0"/>
                <w:color w:val="auto"/>
                <w:sz w:val="24"/>
                <w:szCs w:val="24"/>
                <w:highlight w:val="none"/>
                <w:lang w:eastAsia="zh-CN"/>
              </w:rPr>
              <w:t>供应商针对本项目提供质量、安全、环保等措施评分。（</w:t>
            </w:r>
            <w:r>
              <w:rPr>
                <w:rFonts w:hint="eastAsia" w:ascii="宋体" w:hAnsi="宋体" w:eastAsia="宋体" w:cs="宋体"/>
                <w:color w:val="auto"/>
                <w:kern w:val="0"/>
                <w:sz w:val="24"/>
                <w:szCs w:val="24"/>
                <w:lang w:val="en-US" w:eastAsia="zh-CN" w:bidi="ar"/>
              </w:rPr>
              <w:t xml:space="preserve">包括 </w:t>
            </w:r>
          </w:p>
          <w:p w14:paraId="2A02BE7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color w:val="auto"/>
                <w:kern w:val="0"/>
                <w:sz w:val="24"/>
                <w:szCs w:val="24"/>
                <w:lang w:val="en-US" w:eastAsia="zh-CN" w:bidi="ar"/>
              </w:rPr>
              <w:t>但不限于对除臭控制、噪声控制、污泥、废渣和通风的处理等）进行评审：</w:t>
            </w:r>
          </w:p>
          <w:p w14:paraId="12053353">
            <w:pPr>
              <w:keepNext w:val="0"/>
              <w:keepLines w:val="0"/>
              <w:pageBreakBefore w:val="0"/>
              <w:kinsoku/>
              <w:wordWrap/>
              <w:overflowPunct/>
              <w:topLinePunct w:val="0"/>
              <w:autoSpaceDE/>
              <w:autoSpaceDN/>
              <w:bidi w:val="0"/>
              <w:adjustRightInd/>
              <w:snapToGrid/>
              <w:spacing w:before="60" w:after="60" w:line="360" w:lineRule="auto"/>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措施完整、针对性强得10分；措施较完整、合理得8分；措施基本完整、基本满足项目需要得5分；措施不合理或未提供不得分。</w:t>
            </w:r>
          </w:p>
        </w:tc>
      </w:tr>
      <w:tr w14:paraId="049D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 w:hRule="atLeast"/>
          <w:jc w:val="center"/>
        </w:trPr>
        <w:tc>
          <w:tcPr>
            <w:tcW w:w="397" w:type="pct"/>
            <w:vAlign w:val="center"/>
          </w:tcPr>
          <w:p w14:paraId="423EDFA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2.4</w:t>
            </w:r>
          </w:p>
        </w:tc>
        <w:tc>
          <w:tcPr>
            <w:tcW w:w="611" w:type="pct"/>
            <w:vAlign w:val="center"/>
          </w:tcPr>
          <w:p w14:paraId="3CFE6B5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人员培训</w:t>
            </w:r>
          </w:p>
        </w:tc>
        <w:tc>
          <w:tcPr>
            <w:tcW w:w="387" w:type="pct"/>
            <w:vAlign w:val="center"/>
          </w:tcPr>
          <w:p w14:paraId="165EFD04">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cs="宋体"/>
                <w:b w:val="0"/>
                <w:bCs w:val="0"/>
                <w:color w:val="auto"/>
                <w:sz w:val="24"/>
                <w:szCs w:val="24"/>
                <w:highlight w:val="none"/>
                <w:lang w:val="en-US" w:eastAsia="zh-CN"/>
              </w:rPr>
              <w:t>6</w:t>
            </w:r>
          </w:p>
        </w:tc>
        <w:tc>
          <w:tcPr>
            <w:tcW w:w="3604" w:type="pct"/>
            <w:vAlign w:val="center"/>
          </w:tcPr>
          <w:p w14:paraId="15136DE0">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根据本项目实际情况提供上岗人员培训（包括污水处理人员、在线人员、维修人员、管理人员等的相关法律、专业技术、安全防护以及紧急情况处理等知识）的内容、计划、措施方案。（方案详细具体、完整科学、合理可行得</w:t>
            </w:r>
            <w:r>
              <w:rPr>
                <w:rFonts w:hint="eastAsia" w:ascii="宋体" w:hAnsi="宋体" w:cs="宋体"/>
                <w:b w:val="0"/>
                <w:bCs w:val="0"/>
                <w:color w:val="auto"/>
                <w:sz w:val="24"/>
                <w:szCs w:val="24"/>
                <w:highlight w:val="none"/>
                <w:lang w:val="en-US" w:eastAsia="zh-CN"/>
              </w:rPr>
              <w:t>6</w:t>
            </w:r>
            <w:r>
              <w:rPr>
                <w:rFonts w:hint="eastAsia" w:ascii="宋体" w:hAnsi="宋体" w:eastAsia="宋体" w:cs="宋体"/>
                <w:b w:val="0"/>
                <w:bCs w:val="0"/>
                <w:color w:val="auto"/>
                <w:sz w:val="24"/>
                <w:szCs w:val="24"/>
                <w:highlight w:val="none"/>
                <w:lang w:eastAsia="zh-CN"/>
              </w:rPr>
              <w:t>分；有方案较详细具体、较完整科学、较合理可行得</w:t>
            </w:r>
            <w:r>
              <w:rPr>
                <w:rFonts w:hint="eastAsia" w:ascii="宋体" w:hAnsi="宋体" w:cs="宋体"/>
                <w:b w:val="0"/>
                <w:bCs w:val="0"/>
                <w:color w:val="auto"/>
                <w:sz w:val="24"/>
                <w:szCs w:val="24"/>
                <w:highlight w:val="none"/>
                <w:lang w:val="en-US" w:eastAsia="zh-CN"/>
              </w:rPr>
              <w:t>3</w:t>
            </w:r>
            <w:r>
              <w:rPr>
                <w:rFonts w:hint="eastAsia" w:ascii="宋体" w:hAnsi="宋体" w:eastAsia="宋体" w:cs="宋体"/>
                <w:b w:val="0"/>
                <w:bCs w:val="0"/>
                <w:color w:val="auto"/>
                <w:sz w:val="24"/>
                <w:szCs w:val="24"/>
                <w:highlight w:val="none"/>
                <w:lang w:eastAsia="zh-CN"/>
              </w:rPr>
              <w:t>分；有方案基本完整的得</w:t>
            </w:r>
            <w:r>
              <w:rPr>
                <w:rFonts w:hint="eastAsia" w:ascii="宋体" w:hAnsi="宋体" w:cs="宋体"/>
                <w:b w:val="0"/>
                <w:bCs w:val="0"/>
                <w:color w:val="auto"/>
                <w:sz w:val="24"/>
                <w:szCs w:val="24"/>
                <w:highlight w:val="none"/>
                <w:lang w:val="en-US" w:eastAsia="zh-CN"/>
              </w:rPr>
              <w:t>1</w:t>
            </w:r>
            <w:r>
              <w:rPr>
                <w:rFonts w:hint="eastAsia" w:ascii="宋体" w:hAnsi="宋体" w:eastAsia="宋体" w:cs="宋体"/>
                <w:b w:val="0"/>
                <w:bCs w:val="0"/>
                <w:color w:val="auto"/>
                <w:sz w:val="24"/>
                <w:szCs w:val="24"/>
                <w:highlight w:val="none"/>
                <w:lang w:eastAsia="zh-CN"/>
              </w:rPr>
              <w:t>分；未提供不得分。）</w:t>
            </w:r>
          </w:p>
        </w:tc>
      </w:tr>
      <w:tr w14:paraId="1B23B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397" w:type="pct"/>
            <w:vAlign w:val="center"/>
          </w:tcPr>
          <w:p w14:paraId="5A6FC5AC">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2.5</w:t>
            </w:r>
          </w:p>
        </w:tc>
        <w:tc>
          <w:tcPr>
            <w:tcW w:w="611" w:type="pct"/>
            <w:vAlign w:val="center"/>
          </w:tcPr>
          <w:p w14:paraId="3B2A9E42">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应急预案</w:t>
            </w:r>
          </w:p>
        </w:tc>
        <w:tc>
          <w:tcPr>
            <w:tcW w:w="387" w:type="pct"/>
            <w:vAlign w:val="center"/>
          </w:tcPr>
          <w:p w14:paraId="3F95972C">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8</w:t>
            </w:r>
          </w:p>
        </w:tc>
        <w:tc>
          <w:tcPr>
            <w:tcW w:w="3604" w:type="pct"/>
            <w:vAlign w:val="center"/>
          </w:tcPr>
          <w:p w14:paraId="37C8FC5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color w:val="auto"/>
              </w:rPr>
            </w:pPr>
            <w:r>
              <w:rPr>
                <w:rFonts w:hint="eastAsia" w:ascii="宋体" w:hAnsi="宋体" w:eastAsia="宋体" w:cs="宋体"/>
                <w:b w:val="0"/>
                <w:bCs w:val="0"/>
                <w:color w:val="auto"/>
                <w:sz w:val="24"/>
                <w:szCs w:val="24"/>
                <w:highlight w:val="none"/>
                <w:lang w:eastAsia="zh-CN"/>
              </w:rPr>
              <w:t>针对本项目的突发事件，有切实可行的应急响应措施方案。（</w:t>
            </w:r>
            <w:r>
              <w:rPr>
                <w:rFonts w:hint="eastAsia" w:ascii="宋体" w:hAnsi="宋体" w:eastAsia="宋体" w:cs="宋体"/>
                <w:b w:val="0"/>
                <w:bCs w:val="0"/>
                <w:color w:val="auto"/>
                <w:sz w:val="24"/>
                <w:szCs w:val="24"/>
                <w:highlight w:val="none"/>
                <w:lang w:val="en-US" w:eastAsia="zh-CN"/>
              </w:rPr>
              <w:t>包括但不限于：对设备故障、污水外溢、自然灾害、人员伤害等突发状况的应急 处理及人员安排情况，完善的紧急事故汇报、处理处置流程</w:t>
            </w:r>
            <w:r>
              <w:rPr>
                <w:rFonts w:hint="eastAsia" w:ascii="宋体" w:hAnsi="宋体" w:cs="宋体"/>
                <w:b w:val="0"/>
                <w:bCs w:val="0"/>
                <w:color w:val="auto"/>
                <w:sz w:val="24"/>
                <w:szCs w:val="24"/>
                <w:highlight w:val="none"/>
                <w:lang w:val="en-US" w:eastAsia="zh-CN"/>
              </w:rPr>
              <w:t>等，）</w:t>
            </w:r>
            <w:r>
              <w:rPr>
                <w:rFonts w:hint="eastAsia" w:ascii="宋体" w:hAnsi="宋体" w:eastAsia="宋体" w:cs="宋体"/>
                <w:color w:val="auto"/>
                <w:kern w:val="0"/>
                <w:sz w:val="24"/>
                <w:szCs w:val="24"/>
                <w:lang w:val="en-US" w:eastAsia="zh-CN" w:bidi="ar"/>
              </w:rPr>
              <w:t>进行评审：</w:t>
            </w:r>
          </w:p>
          <w:p w14:paraId="133002C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解决突发性事件的应急预案详细、完整，能及时、合理得8分；较详细、较完整，对突发性事件应对较合理的得5分；基本详细、基本完整、基本合理的得3分。</w:t>
            </w:r>
          </w:p>
        </w:tc>
      </w:tr>
      <w:tr w14:paraId="18CB4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jc w:val="center"/>
        </w:trPr>
        <w:tc>
          <w:tcPr>
            <w:tcW w:w="397" w:type="pct"/>
            <w:vMerge w:val="restart"/>
            <w:vAlign w:val="center"/>
          </w:tcPr>
          <w:p w14:paraId="690D1D3B">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2.6</w:t>
            </w:r>
          </w:p>
        </w:tc>
        <w:tc>
          <w:tcPr>
            <w:tcW w:w="611" w:type="pct"/>
            <w:vMerge w:val="restart"/>
            <w:vAlign w:val="center"/>
          </w:tcPr>
          <w:p w14:paraId="2BD830B5">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服务承诺</w:t>
            </w:r>
          </w:p>
        </w:tc>
        <w:tc>
          <w:tcPr>
            <w:tcW w:w="387" w:type="pct"/>
            <w:vAlign w:val="center"/>
          </w:tcPr>
          <w:p w14:paraId="660F21C4">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w:t>
            </w:r>
          </w:p>
        </w:tc>
        <w:tc>
          <w:tcPr>
            <w:tcW w:w="3604" w:type="pct"/>
            <w:vAlign w:val="center"/>
          </w:tcPr>
          <w:p w14:paraId="7E139139">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1）时效性承诺：供应商应确保采购人设备的正常稳定运行，为设备正常运转提供技术支持和保障。严格执行国家标准及设备的保养、维修规范，并为采购人提供全年365天的24小时维修服务承诺，随叫随到，需30分钟内响应，接故障报修1小时内到现场进行服务，2小时内排除故障，提供承诺函及证明材料得6分，未提供或不满足上述要求不得分。</w:t>
            </w:r>
          </w:p>
        </w:tc>
      </w:tr>
      <w:tr w14:paraId="61A06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397" w:type="pct"/>
            <w:vMerge w:val="continue"/>
            <w:vAlign w:val="center"/>
          </w:tcPr>
          <w:p w14:paraId="34A3124F">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611" w:type="pct"/>
            <w:vMerge w:val="continue"/>
            <w:vAlign w:val="center"/>
          </w:tcPr>
          <w:p w14:paraId="411924AC">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p>
        </w:tc>
        <w:tc>
          <w:tcPr>
            <w:tcW w:w="387" w:type="pct"/>
            <w:vAlign w:val="center"/>
          </w:tcPr>
          <w:p w14:paraId="0D77A04B">
            <w:pPr>
              <w:pageBreakBefore w:val="0"/>
              <w:kinsoku/>
              <w:overflowPunct/>
              <w:topLinePunct w:val="0"/>
              <w:bidi w:val="0"/>
              <w:spacing w:before="60" w:after="60" w:line="360" w:lineRule="auto"/>
              <w:jc w:val="center"/>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4</w:t>
            </w:r>
          </w:p>
        </w:tc>
        <w:tc>
          <w:tcPr>
            <w:tcW w:w="3604" w:type="pct"/>
            <w:vAlign w:val="center"/>
          </w:tcPr>
          <w:p w14:paraId="33E248DD">
            <w:pPr>
              <w:pageBreakBefore w:val="0"/>
              <w:kinsoku/>
              <w:overflowPunct/>
              <w:topLinePunct w:val="0"/>
              <w:bidi w:val="0"/>
              <w:spacing w:before="60" w:after="60" w:line="360" w:lineRule="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质量承诺：供应商书面承诺在合同期内如在监测中或在环保部门的抽查、监测中发现有不达标排放的行为，供应商承担由此而造成的一切经济损失及法律责任，提供承诺书得4分，未提供或不满足上述要求不得分。</w:t>
            </w:r>
          </w:p>
        </w:tc>
      </w:tr>
    </w:tbl>
    <w:p w14:paraId="645D0D92">
      <w:pPr>
        <w:pageBreakBefore w:val="0"/>
        <w:kinsoku/>
        <w:overflowPunct/>
        <w:topLinePunct w:val="0"/>
        <w:bidi w:val="0"/>
        <w:spacing w:before="60" w:after="60" w:line="360" w:lineRule="auto"/>
        <w:rPr>
          <w:rFonts w:hint="eastAsia" w:ascii="宋体" w:hAnsi="宋体"/>
          <w:b/>
          <w:bCs/>
          <w:color w:val="auto"/>
          <w:sz w:val="24"/>
          <w:szCs w:val="24"/>
          <w:highlight w:val="none"/>
        </w:rPr>
      </w:pPr>
    </w:p>
    <w:p w14:paraId="297B4F21">
      <w:pPr>
        <w:pageBreakBefore w:val="0"/>
        <w:kinsoku/>
        <w:overflowPunct/>
        <w:topLinePunct w:val="0"/>
        <w:bidi w:val="0"/>
        <w:spacing w:before="60" w:after="60" w:line="360" w:lineRule="auto"/>
        <w:rPr>
          <w:rFonts w:ascii="宋体" w:hAnsi="宋体"/>
          <w:b/>
          <w:bCs/>
          <w:color w:val="auto"/>
          <w:sz w:val="24"/>
          <w:szCs w:val="24"/>
          <w:highlight w:val="none"/>
        </w:rPr>
      </w:pPr>
      <w:r>
        <w:rPr>
          <w:rFonts w:hint="eastAsia" w:ascii="宋体" w:hAnsi="宋体"/>
          <w:b/>
          <w:bCs/>
          <w:color w:val="auto"/>
          <w:sz w:val="24"/>
          <w:szCs w:val="24"/>
          <w:highlight w:val="none"/>
        </w:rPr>
        <w:t>3、价格评议（</w:t>
      </w:r>
      <w:r>
        <w:rPr>
          <w:rFonts w:hint="eastAsia" w:ascii="宋体" w:hAnsi="宋体"/>
          <w:b/>
          <w:bCs/>
          <w:color w:val="auto"/>
          <w:sz w:val="24"/>
          <w:szCs w:val="24"/>
          <w:highlight w:val="none"/>
          <w:lang w:val="en-US" w:eastAsia="zh-CN"/>
        </w:rPr>
        <w:t>10</w:t>
      </w:r>
      <w:r>
        <w:rPr>
          <w:rFonts w:hint="eastAsia" w:ascii="宋体" w:hAnsi="宋体"/>
          <w:b/>
          <w:bCs/>
          <w:color w:val="auto"/>
          <w:sz w:val="24"/>
          <w:szCs w:val="24"/>
          <w:highlight w:val="none"/>
        </w:rPr>
        <w:t>分）</w:t>
      </w:r>
    </w:p>
    <w:tbl>
      <w:tblPr>
        <w:tblStyle w:val="30"/>
        <w:tblW w:w="51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3"/>
        <w:gridCol w:w="1556"/>
        <w:gridCol w:w="693"/>
        <w:gridCol w:w="6497"/>
      </w:tblGrid>
      <w:tr w14:paraId="44C04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jc w:val="center"/>
        </w:trPr>
        <w:tc>
          <w:tcPr>
            <w:tcW w:w="416" w:type="pct"/>
            <w:shd w:val="pct10" w:color="auto" w:fill="auto"/>
            <w:vAlign w:val="center"/>
          </w:tcPr>
          <w:p w14:paraId="405B5FD4">
            <w:pPr>
              <w:pageBreakBefore w:val="0"/>
              <w:kinsoku/>
              <w:overflowPunct/>
              <w:topLinePunct w:val="0"/>
              <w:bidi w:val="0"/>
              <w:spacing w:line="360" w:lineRule="auto"/>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序号</w:t>
            </w:r>
          </w:p>
        </w:tc>
        <w:tc>
          <w:tcPr>
            <w:tcW w:w="815" w:type="pct"/>
            <w:shd w:val="pct10" w:color="auto" w:fill="auto"/>
            <w:vAlign w:val="center"/>
          </w:tcPr>
          <w:p w14:paraId="2A95ADFC">
            <w:pPr>
              <w:pageBreakBefore w:val="0"/>
              <w:kinsoku/>
              <w:overflowPunct/>
              <w:topLinePunct w:val="0"/>
              <w:bidi w:val="0"/>
              <w:spacing w:line="360" w:lineRule="auto"/>
              <w:ind w:left="-78" w:leftChars="-37" w:right="-86" w:rightChars="-41"/>
              <w:jc w:val="center"/>
              <w:rPr>
                <w:rFonts w:ascii="宋体" w:hAnsi="宋体" w:cs="Courier New"/>
                <w:b/>
                <w:bCs/>
                <w:color w:val="auto"/>
                <w:sz w:val="24"/>
                <w:szCs w:val="24"/>
                <w:highlight w:val="none"/>
              </w:rPr>
            </w:pPr>
            <w:r>
              <w:rPr>
                <w:rFonts w:hint="eastAsia" w:ascii="宋体" w:hAnsi="宋体"/>
                <w:b/>
                <w:color w:val="auto"/>
                <w:sz w:val="24"/>
                <w:szCs w:val="24"/>
                <w:highlight w:val="none"/>
              </w:rPr>
              <w:t>评审因素</w:t>
            </w:r>
          </w:p>
        </w:tc>
        <w:tc>
          <w:tcPr>
            <w:tcW w:w="363" w:type="pct"/>
            <w:shd w:val="pct10" w:color="auto" w:fill="auto"/>
            <w:vAlign w:val="center"/>
          </w:tcPr>
          <w:p w14:paraId="5398CC0E">
            <w:pPr>
              <w:pageBreakBefore w:val="0"/>
              <w:kinsoku/>
              <w:overflowPunct/>
              <w:topLinePunct w:val="0"/>
              <w:bidi w:val="0"/>
              <w:spacing w:line="360" w:lineRule="auto"/>
              <w:ind w:left="-73" w:leftChars="-35" w:right="-80" w:rightChars="-38"/>
              <w:jc w:val="center"/>
              <w:rPr>
                <w:rFonts w:ascii="宋体" w:hAnsi="宋体" w:cs="Courier New"/>
                <w:b/>
                <w:bCs/>
                <w:color w:val="auto"/>
                <w:sz w:val="24"/>
                <w:szCs w:val="24"/>
                <w:highlight w:val="none"/>
              </w:rPr>
            </w:pPr>
            <w:r>
              <w:rPr>
                <w:rFonts w:ascii="宋体" w:hAnsi="宋体" w:cs="Courier New"/>
                <w:b/>
                <w:bCs/>
                <w:color w:val="auto"/>
                <w:sz w:val="24"/>
                <w:szCs w:val="24"/>
                <w:highlight w:val="none"/>
              </w:rPr>
              <w:t>分值</w:t>
            </w:r>
          </w:p>
        </w:tc>
        <w:tc>
          <w:tcPr>
            <w:tcW w:w="3404" w:type="pct"/>
            <w:shd w:val="pct10" w:color="auto" w:fill="auto"/>
            <w:vAlign w:val="center"/>
          </w:tcPr>
          <w:p w14:paraId="0A8B1112">
            <w:pPr>
              <w:pageBreakBefore w:val="0"/>
              <w:kinsoku/>
              <w:overflowPunct/>
              <w:topLinePunct w:val="0"/>
              <w:bidi w:val="0"/>
              <w:spacing w:line="360" w:lineRule="auto"/>
              <w:jc w:val="center"/>
              <w:rPr>
                <w:rFonts w:ascii="宋体" w:hAnsi="宋体" w:cs="Courier New"/>
                <w:b/>
                <w:bCs/>
                <w:color w:val="auto"/>
                <w:sz w:val="24"/>
                <w:szCs w:val="24"/>
                <w:highlight w:val="none"/>
              </w:rPr>
            </w:pPr>
            <w:r>
              <w:rPr>
                <w:rFonts w:hint="eastAsia" w:ascii="宋体" w:hAnsi="宋体" w:cs="Courier New"/>
                <w:b/>
                <w:bCs/>
                <w:color w:val="auto"/>
                <w:sz w:val="24"/>
                <w:szCs w:val="24"/>
                <w:highlight w:val="none"/>
              </w:rPr>
              <w:t>评分标准</w:t>
            </w:r>
          </w:p>
        </w:tc>
      </w:tr>
      <w:tr w14:paraId="292B5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6" w:type="pct"/>
            <w:vAlign w:val="center"/>
          </w:tcPr>
          <w:p w14:paraId="56C2F000">
            <w:pPr>
              <w:pageBreakBefore w:val="0"/>
              <w:kinsoku/>
              <w:overflowPunct/>
              <w:topLinePunct w:val="0"/>
              <w:bidi w:val="0"/>
              <w:spacing w:line="360" w:lineRule="auto"/>
              <w:jc w:val="center"/>
              <w:rPr>
                <w:rFonts w:eastAsiaTheme="minorEastAsia"/>
                <w:color w:val="auto"/>
                <w:sz w:val="24"/>
                <w:szCs w:val="24"/>
                <w:highlight w:val="none"/>
              </w:rPr>
            </w:pPr>
            <w:r>
              <w:rPr>
                <w:rFonts w:hint="eastAsia"/>
                <w:color w:val="auto"/>
                <w:sz w:val="24"/>
                <w:szCs w:val="24"/>
                <w:highlight w:val="none"/>
              </w:rPr>
              <w:t>3.1</w:t>
            </w:r>
          </w:p>
        </w:tc>
        <w:tc>
          <w:tcPr>
            <w:tcW w:w="815" w:type="pct"/>
            <w:vAlign w:val="center"/>
          </w:tcPr>
          <w:p w14:paraId="23D49B85">
            <w:pPr>
              <w:pageBreakBefore w:val="0"/>
              <w:kinsoku/>
              <w:overflowPunct/>
              <w:topLinePunct w:val="0"/>
              <w:bidi w:val="0"/>
              <w:spacing w:line="360" w:lineRule="auto"/>
              <w:jc w:val="center"/>
              <w:rPr>
                <w:color w:val="auto"/>
                <w:sz w:val="24"/>
                <w:szCs w:val="24"/>
                <w:highlight w:val="none"/>
              </w:rPr>
            </w:pPr>
            <w:r>
              <w:rPr>
                <w:rFonts w:hint="eastAsia"/>
                <w:color w:val="auto"/>
                <w:sz w:val="24"/>
                <w:szCs w:val="24"/>
                <w:highlight w:val="none"/>
              </w:rPr>
              <w:t>价格评议</w:t>
            </w:r>
          </w:p>
        </w:tc>
        <w:tc>
          <w:tcPr>
            <w:tcW w:w="363" w:type="pct"/>
            <w:vAlign w:val="center"/>
          </w:tcPr>
          <w:p w14:paraId="2B40F257">
            <w:pPr>
              <w:pageBreakBefore w:val="0"/>
              <w:kinsoku/>
              <w:overflowPunct/>
              <w:topLinePunct w:val="0"/>
              <w:bidi w:val="0"/>
              <w:spacing w:line="360" w:lineRule="auto"/>
              <w:jc w:val="center"/>
              <w:rPr>
                <w:rFonts w:hint="default" w:eastAsia="宋体"/>
                <w:color w:val="auto"/>
                <w:sz w:val="24"/>
                <w:szCs w:val="24"/>
                <w:highlight w:val="none"/>
                <w:lang w:val="en-US" w:eastAsia="zh-CN"/>
              </w:rPr>
            </w:pPr>
            <w:r>
              <w:rPr>
                <w:rFonts w:hint="eastAsia"/>
                <w:color w:val="auto"/>
                <w:sz w:val="24"/>
                <w:szCs w:val="24"/>
                <w:highlight w:val="none"/>
                <w:lang w:val="en-US" w:eastAsia="zh-CN"/>
              </w:rPr>
              <w:t>10</w:t>
            </w:r>
          </w:p>
        </w:tc>
        <w:tc>
          <w:tcPr>
            <w:tcW w:w="3404" w:type="pct"/>
            <w:vAlign w:val="center"/>
          </w:tcPr>
          <w:p w14:paraId="34E095A1">
            <w:pPr>
              <w:pageBreakBefore w:val="0"/>
              <w:kinsoku/>
              <w:overflowPunct/>
              <w:topLinePunct w:val="0"/>
              <w:bidi w:val="0"/>
              <w:adjustRightInd w:val="0"/>
              <w:snapToGrid w:val="0"/>
              <w:spacing w:line="360" w:lineRule="auto"/>
              <w:rPr>
                <w:rFonts w:ascii="宋体" w:hAnsi="宋体"/>
                <w:color w:val="auto"/>
                <w:sz w:val="24"/>
                <w:szCs w:val="24"/>
                <w:highlight w:val="none"/>
              </w:rPr>
            </w:pPr>
            <w:r>
              <w:rPr>
                <w:rFonts w:hint="eastAsia" w:eastAsia="宋体" w:cs="Times New Roman"/>
                <w:color w:val="auto"/>
                <w:sz w:val="24"/>
                <w:szCs w:val="24"/>
                <w:highlight w:val="none"/>
              </w:rPr>
              <w:t>价格分采用低价优先法计算，即满足磋商文件要求且最后报价（落实政府采购政策进行价格调整的，以调整后的价格计算）最低的供应商的价格为磋商基准价，其价格分为满分。其他供应商的价格分计算公式：磋商报价得分=（磋商基准价/最后磋商报价）×</w:t>
            </w:r>
            <w:r>
              <w:rPr>
                <w:rFonts w:hint="eastAsia" w:cs="Times New Roman"/>
                <w:color w:val="auto"/>
                <w:sz w:val="24"/>
                <w:szCs w:val="24"/>
                <w:highlight w:val="none"/>
                <w:lang w:val="en-US" w:eastAsia="zh-CN"/>
              </w:rPr>
              <w:t>10</w:t>
            </w:r>
            <w:r>
              <w:rPr>
                <w:rFonts w:hint="eastAsia" w:eastAsia="宋体" w:cs="Times New Roman"/>
                <w:color w:val="auto"/>
                <w:sz w:val="24"/>
                <w:szCs w:val="24"/>
                <w:highlight w:val="none"/>
                <w:lang w:eastAsia="zh-CN"/>
              </w:rPr>
              <w:t>。</w:t>
            </w:r>
          </w:p>
        </w:tc>
      </w:tr>
    </w:tbl>
    <w:p w14:paraId="57E3D950">
      <w:pPr>
        <w:pageBreakBefore w:val="0"/>
        <w:kinsoku/>
        <w:overflowPunct/>
        <w:topLinePunct w:val="0"/>
        <w:bidi w:val="0"/>
        <w:spacing w:before="60" w:after="60" w:line="360" w:lineRule="auto"/>
        <w:rPr>
          <w:rFonts w:ascii="宋体" w:hAnsi="宋体"/>
          <w:b/>
          <w:bCs/>
          <w:color w:val="auto"/>
          <w:sz w:val="24"/>
          <w:szCs w:val="24"/>
          <w:highlight w:val="none"/>
        </w:rPr>
      </w:pPr>
      <w:r>
        <w:rPr>
          <w:rFonts w:ascii="宋体" w:hAnsi="宋体"/>
          <w:b/>
          <w:bCs/>
          <w:color w:val="auto"/>
          <w:sz w:val="24"/>
          <w:szCs w:val="24"/>
          <w:highlight w:val="none"/>
        </w:rPr>
        <w:t>确定成交供应商</w:t>
      </w:r>
    </w:p>
    <w:p w14:paraId="23B4F33D">
      <w:pPr>
        <w:pageBreakBefore w:val="0"/>
        <w:kinsoku/>
        <w:overflowPunct/>
        <w:topLinePunct w:val="0"/>
        <w:bidi w:val="0"/>
        <w:spacing w:line="360" w:lineRule="auto"/>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1、</w:t>
      </w:r>
      <w:r>
        <w:rPr>
          <w:rFonts w:ascii="Times New Roman" w:hAnsi="Times New Roman"/>
          <w:bCs/>
          <w:color w:val="auto"/>
          <w:sz w:val="24"/>
          <w:szCs w:val="24"/>
          <w:highlight w:val="none"/>
        </w:rPr>
        <w:t>磋商小组根据综合评分情况，按照评审得分由高到低顺序推荐3名以上成交候选供应商，并编写评审报告。评审得分相同的，按照最终报价由低到高的顺序推荐。评审得分且最后报价相同的，按照技术指标优劣顺序推荐。</w:t>
      </w:r>
    </w:p>
    <w:p w14:paraId="03C0DA71">
      <w:pPr>
        <w:pageBreakBefore w:val="0"/>
        <w:kinsoku/>
        <w:overflowPunct/>
        <w:topLinePunct w:val="0"/>
        <w:bidi w:val="0"/>
        <w:spacing w:line="360" w:lineRule="auto"/>
        <w:ind w:left="360" w:hanging="360" w:hangingChars="150"/>
        <w:jc w:val="left"/>
        <w:rPr>
          <w:rFonts w:ascii="Times New Roman" w:hAnsi="Times New Roman"/>
          <w:bCs/>
          <w:color w:val="auto"/>
          <w:sz w:val="24"/>
          <w:szCs w:val="24"/>
          <w:highlight w:val="none"/>
        </w:rPr>
      </w:pPr>
      <w:r>
        <w:rPr>
          <w:rFonts w:hint="eastAsia" w:ascii="Times New Roman" w:hAnsi="Times New Roman"/>
          <w:bCs/>
          <w:color w:val="auto"/>
          <w:sz w:val="24"/>
          <w:szCs w:val="24"/>
          <w:highlight w:val="none"/>
        </w:rPr>
        <w:t>2、</w:t>
      </w:r>
      <w:r>
        <w:rPr>
          <w:rFonts w:ascii="Times New Roman" w:hAnsi="Times New Roman"/>
          <w:bCs/>
          <w:color w:val="auto"/>
          <w:sz w:val="24"/>
          <w:szCs w:val="24"/>
          <w:highlight w:val="none"/>
        </w:rPr>
        <w:t>采购人从评审报告提出的成交候选供应商中，按照排序由高到低的原则确定成交供应商。</w:t>
      </w:r>
    </w:p>
    <w:p w14:paraId="4BA0CDD6">
      <w:pPr>
        <w:pageBreakBefore w:val="0"/>
        <w:kinsoku/>
        <w:overflowPunct/>
        <w:topLinePunct w:val="0"/>
        <w:bidi w:val="0"/>
        <w:spacing w:line="360" w:lineRule="auto"/>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br w:type="page"/>
      </w:r>
    </w:p>
    <w:p w14:paraId="05079823">
      <w:pPr>
        <w:pageBreakBefore w:val="0"/>
        <w:widowControl/>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color w:val="auto"/>
          <w:sz w:val="40"/>
          <w:szCs w:val="40"/>
          <w:highlight w:val="none"/>
        </w:rPr>
        <w:t>第五章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合同书（参考格式）</w:t>
      </w:r>
    </w:p>
    <w:p w14:paraId="3C463CFD">
      <w:pPr>
        <w:pageBreakBefore w:val="0"/>
        <w:kinsoku/>
        <w:overflowPunct/>
        <w:topLinePunct w:val="0"/>
        <w:bidi w:val="0"/>
        <w:spacing w:line="360" w:lineRule="auto"/>
        <w:ind w:firstLine="800" w:firstLineChars="200"/>
        <w:rPr>
          <w:rFonts w:ascii="Times New Roman" w:hAnsi="Times New Roman" w:eastAsia="方正小标宋简体"/>
          <w:color w:val="auto"/>
          <w:sz w:val="40"/>
          <w:szCs w:val="40"/>
          <w:highlight w:val="none"/>
        </w:rPr>
      </w:pPr>
    </w:p>
    <w:p w14:paraId="35D5512A">
      <w:pPr>
        <w:pageBreakBefore w:val="0"/>
        <w:kinsoku/>
        <w:overflowPunct/>
        <w:topLinePunct w:val="0"/>
        <w:bidi w:val="0"/>
        <w:spacing w:line="360" w:lineRule="auto"/>
        <w:ind w:firstLine="480" w:firstLineChars="200"/>
        <w:rPr>
          <w:rFonts w:ascii="Times New Roman" w:hAnsi="Times New Roman"/>
          <w:color w:val="auto"/>
          <w:spacing w:val="-10"/>
          <w:sz w:val="24"/>
          <w:szCs w:val="24"/>
          <w:highlight w:val="none"/>
        </w:rPr>
      </w:pPr>
      <w:r>
        <w:rPr>
          <w:rFonts w:ascii="Times New Roman" w:hAnsi="Times New Roman"/>
          <w:color w:val="auto"/>
          <w:sz w:val="24"/>
          <w:szCs w:val="24"/>
          <w:highlight w:val="none"/>
        </w:rPr>
        <w:t>（根据《政府采购法》和《合同法》。采购人和供应商之间的权利和义务，应当按照平等的原则以合同方式约定。此合同书仅作为签订正式合同时的参考，正式合同书应包括本参考格式之内容。）</w:t>
      </w:r>
    </w:p>
    <w:p w14:paraId="7245BBAE">
      <w:pPr>
        <w:pageBreakBefore w:val="0"/>
        <w:kinsoku/>
        <w:overflowPunct/>
        <w:topLinePunct w:val="0"/>
        <w:bidi w:val="0"/>
        <w:spacing w:line="360" w:lineRule="auto"/>
        <w:ind w:firstLine="540"/>
        <w:jc w:val="center"/>
        <w:rPr>
          <w:rFonts w:ascii="Times New Roman" w:hAnsi="Times New Roman"/>
          <w:b/>
          <w:color w:val="auto"/>
          <w:kern w:val="0"/>
          <w:sz w:val="24"/>
          <w:szCs w:val="24"/>
          <w:highlight w:val="none"/>
        </w:rPr>
      </w:pPr>
    </w:p>
    <w:p w14:paraId="2571ADB3">
      <w:pPr>
        <w:pageBreakBefore w:val="0"/>
        <w:kinsoku/>
        <w:overflowPunct/>
        <w:topLinePunct w:val="0"/>
        <w:bidi w:val="0"/>
        <w:spacing w:line="360" w:lineRule="auto"/>
        <w:jc w:val="center"/>
        <w:rPr>
          <w:rFonts w:ascii="Times New Roman" w:hAnsi="Times New Roman" w:eastAsia="黑体"/>
          <w:color w:val="auto"/>
          <w:kern w:val="0"/>
          <w:sz w:val="28"/>
          <w:szCs w:val="28"/>
          <w:highlight w:val="none"/>
        </w:rPr>
      </w:pPr>
      <w:r>
        <w:rPr>
          <w:rFonts w:ascii="Times New Roman" w:hAnsi="Times New Roman" w:eastAsia="黑体"/>
          <w:color w:val="auto"/>
          <w:kern w:val="0"/>
          <w:sz w:val="28"/>
          <w:szCs w:val="28"/>
          <w:highlight w:val="none"/>
        </w:rPr>
        <w:t>合</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同</w:t>
      </w:r>
      <w:r>
        <w:rPr>
          <w:rFonts w:hint="eastAsia" w:ascii="Times New Roman" w:hAnsi="Times New Roman" w:eastAsia="黑体"/>
          <w:color w:val="auto"/>
          <w:kern w:val="0"/>
          <w:sz w:val="28"/>
          <w:szCs w:val="28"/>
          <w:highlight w:val="none"/>
        </w:rPr>
        <w:t xml:space="preserve"> </w:t>
      </w:r>
      <w:r>
        <w:rPr>
          <w:rFonts w:ascii="Times New Roman" w:hAnsi="Times New Roman" w:eastAsia="黑体"/>
          <w:color w:val="auto"/>
          <w:kern w:val="0"/>
          <w:sz w:val="28"/>
          <w:szCs w:val="28"/>
          <w:highlight w:val="none"/>
        </w:rPr>
        <w:t>书</w:t>
      </w:r>
    </w:p>
    <w:p w14:paraId="61C7616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项目名称：</w:t>
      </w:r>
    </w:p>
    <w:p w14:paraId="38B5C9C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合同编号：</w:t>
      </w:r>
    </w:p>
    <w:p w14:paraId="3E127E2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签订日期：</w:t>
      </w:r>
    </w:p>
    <w:p w14:paraId="1E39E9E8">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签订合同地点：</w:t>
      </w:r>
    </w:p>
    <w:p w14:paraId="39FB47E0">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本合同由（以下简称“需方”）与（以下简称“供方”）签订。</w:t>
      </w:r>
    </w:p>
    <w:p w14:paraId="6D279221">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供方以总金额万元人民币（用大写数字书写）向需方提供如下货物：</w:t>
      </w:r>
    </w:p>
    <w:p w14:paraId="5103D5D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经双方协商，同意按下列条文执行：</w:t>
      </w:r>
    </w:p>
    <w:p w14:paraId="22C351D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w:t>
      </w:r>
      <w:r>
        <w:rPr>
          <w:rFonts w:ascii="宋体" w:hAnsi="宋体"/>
          <w:color w:val="auto"/>
          <w:sz w:val="24"/>
          <w:szCs w:val="24"/>
          <w:highlight w:val="none"/>
        </w:rPr>
        <w:t>.</w:t>
      </w:r>
      <w:r>
        <w:rPr>
          <w:rFonts w:ascii="Times New Roman" w:hAnsi="Times New Roman"/>
          <w:color w:val="auto"/>
          <w:kern w:val="0"/>
          <w:sz w:val="24"/>
          <w:szCs w:val="24"/>
          <w:highlight w:val="none"/>
        </w:rPr>
        <w:t>本合同供、需双方必须遵守国家颁布的《中华人民共和国合同法》、《中华人民共和国政府采购法》，并各自履行应负的全部责任和义务。</w:t>
      </w:r>
    </w:p>
    <w:p w14:paraId="44FF129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2</w:t>
      </w:r>
      <w:r>
        <w:rPr>
          <w:rFonts w:ascii="宋体" w:hAnsi="宋体"/>
          <w:color w:val="auto"/>
          <w:sz w:val="24"/>
          <w:szCs w:val="24"/>
          <w:highlight w:val="none"/>
        </w:rPr>
        <w:t>.</w:t>
      </w:r>
      <w:r>
        <w:rPr>
          <w:rFonts w:ascii="Times New Roman" w:hAnsi="Times New Roman"/>
          <w:color w:val="auto"/>
          <w:kern w:val="0"/>
          <w:sz w:val="24"/>
          <w:szCs w:val="24"/>
          <w:highlight w:val="none"/>
        </w:rPr>
        <w:t>需方保证按合同条款规定的时间和方式付给供方到期应付的货款，并承担应负的责任和义务。</w:t>
      </w:r>
    </w:p>
    <w:p w14:paraId="38245F8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3</w:t>
      </w:r>
      <w:r>
        <w:rPr>
          <w:rFonts w:ascii="宋体" w:hAnsi="宋体"/>
          <w:color w:val="auto"/>
          <w:sz w:val="24"/>
          <w:szCs w:val="24"/>
          <w:highlight w:val="none"/>
        </w:rPr>
        <w:t>.</w:t>
      </w:r>
      <w:r>
        <w:rPr>
          <w:rFonts w:ascii="Times New Roman" w:hAnsi="Times New Roman"/>
          <w:color w:val="auto"/>
          <w:kern w:val="0"/>
          <w:sz w:val="24"/>
          <w:szCs w:val="24"/>
          <w:highlight w:val="none"/>
        </w:rPr>
        <w:t>供方保证全部按合同条款规定的内容和交货期向需方提供合格的货物，并承担应负的责任和义务。</w:t>
      </w:r>
    </w:p>
    <w:p w14:paraId="1ABF3875">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合同文件</w:t>
      </w:r>
    </w:p>
    <w:p w14:paraId="5E3F5D3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下列文件为本合同不可分割的部分：</w:t>
      </w:r>
    </w:p>
    <w:p w14:paraId="2FBFA0D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1竞争性磋商文件(编号：　　　　)；</w:t>
      </w:r>
    </w:p>
    <w:p w14:paraId="434263E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2供方成交的响应文件（副本）；</w:t>
      </w:r>
    </w:p>
    <w:p w14:paraId="6B90584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3合同书；</w:t>
      </w:r>
    </w:p>
    <w:p w14:paraId="23C3360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4合同条款；</w:t>
      </w:r>
    </w:p>
    <w:p w14:paraId="5EF4C4A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5</w:t>
      </w:r>
      <w:r>
        <w:rPr>
          <w:rFonts w:ascii="Times New Roman" w:hAnsi="Times New Roman"/>
          <w:color w:val="auto"/>
          <w:kern w:val="0"/>
          <w:sz w:val="24"/>
          <w:szCs w:val="20"/>
          <w:highlight w:val="none"/>
        </w:rPr>
        <w:t>（</w:t>
      </w:r>
      <w:r>
        <w:rPr>
          <w:rFonts w:hint="eastAsia" w:ascii="Times New Roman" w:hAnsi="Times New Roman"/>
          <w:color w:val="auto"/>
          <w:kern w:val="0"/>
          <w:sz w:val="24"/>
          <w:szCs w:val="20"/>
          <w:highlight w:val="none"/>
          <w:lang w:eastAsia="zh-CN"/>
        </w:rPr>
        <w:t>分散采购</w:t>
      </w:r>
      <w:r>
        <w:rPr>
          <w:rFonts w:ascii="Times New Roman" w:hAnsi="Times New Roman"/>
          <w:color w:val="auto"/>
          <w:kern w:val="0"/>
          <w:sz w:val="24"/>
          <w:szCs w:val="20"/>
          <w:highlight w:val="none"/>
        </w:rPr>
        <w:t>机构名称）</w:t>
      </w:r>
      <w:r>
        <w:rPr>
          <w:rFonts w:ascii="Times New Roman" w:hAnsi="Times New Roman"/>
          <w:color w:val="auto"/>
          <w:kern w:val="0"/>
          <w:sz w:val="24"/>
          <w:szCs w:val="24"/>
          <w:highlight w:val="none"/>
        </w:rPr>
        <w:t>发出的成交通知书；</w:t>
      </w:r>
    </w:p>
    <w:p w14:paraId="25DF5126">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4</w:t>
      </w:r>
      <w:r>
        <w:rPr>
          <w:rFonts w:ascii="宋体" w:hAnsi="宋体"/>
          <w:color w:val="auto"/>
          <w:sz w:val="24"/>
          <w:szCs w:val="24"/>
          <w:highlight w:val="none"/>
        </w:rPr>
        <w:t>.</w:t>
      </w:r>
      <w:r>
        <w:rPr>
          <w:rFonts w:ascii="Times New Roman" w:hAnsi="Times New Roman"/>
          <w:color w:val="auto"/>
          <w:kern w:val="0"/>
          <w:sz w:val="24"/>
          <w:szCs w:val="24"/>
          <w:highlight w:val="none"/>
        </w:rPr>
        <w:t>6在商洽本合同时，双方澄清、确认并共同签字的补充文件、技术协议。</w:t>
      </w:r>
    </w:p>
    <w:p w14:paraId="27974C9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5</w:t>
      </w:r>
      <w:r>
        <w:rPr>
          <w:rFonts w:ascii="宋体" w:hAnsi="宋体"/>
          <w:color w:val="auto"/>
          <w:sz w:val="24"/>
          <w:szCs w:val="24"/>
          <w:highlight w:val="none"/>
        </w:rPr>
        <w:t>.</w:t>
      </w:r>
      <w:r>
        <w:rPr>
          <w:rFonts w:ascii="Times New Roman" w:hAnsi="Times New Roman"/>
          <w:color w:val="auto"/>
          <w:kern w:val="0"/>
          <w:sz w:val="24"/>
          <w:szCs w:val="24"/>
          <w:highlight w:val="none"/>
        </w:rPr>
        <w:t>合同范围和条件</w:t>
      </w:r>
    </w:p>
    <w:p w14:paraId="2003A69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本合同的范围和条件应与上述规定的合同文件内容相一致。</w:t>
      </w:r>
    </w:p>
    <w:p w14:paraId="208FA92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6</w:t>
      </w:r>
      <w:r>
        <w:rPr>
          <w:rFonts w:ascii="宋体" w:hAnsi="宋体"/>
          <w:color w:val="auto"/>
          <w:sz w:val="24"/>
          <w:szCs w:val="24"/>
          <w:highlight w:val="none"/>
        </w:rPr>
        <w:t>.</w:t>
      </w:r>
      <w:r>
        <w:rPr>
          <w:rFonts w:ascii="Times New Roman" w:hAnsi="Times New Roman"/>
          <w:color w:val="auto"/>
          <w:kern w:val="0"/>
          <w:sz w:val="24"/>
          <w:szCs w:val="24"/>
          <w:highlight w:val="none"/>
        </w:rPr>
        <w:t>货物及数量</w:t>
      </w:r>
    </w:p>
    <w:p w14:paraId="4AB83A2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本合同所提供的货物及数量详见磋商文件的要求及供方响应文件中的承诺。</w:t>
      </w:r>
    </w:p>
    <w:p w14:paraId="7A3A8437">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7</w:t>
      </w:r>
      <w:r>
        <w:rPr>
          <w:rFonts w:ascii="宋体" w:hAnsi="宋体"/>
          <w:color w:val="auto"/>
          <w:sz w:val="24"/>
          <w:szCs w:val="24"/>
          <w:highlight w:val="none"/>
        </w:rPr>
        <w:t>.</w:t>
      </w:r>
      <w:r>
        <w:rPr>
          <w:rFonts w:ascii="Times New Roman" w:hAnsi="Times New Roman"/>
          <w:color w:val="auto"/>
          <w:kern w:val="0"/>
          <w:sz w:val="24"/>
          <w:szCs w:val="24"/>
          <w:highlight w:val="none"/>
        </w:rPr>
        <w:t>付款条件</w:t>
      </w:r>
    </w:p>
    <w:p w14:paraId="344D81EE">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本合同的付款条件在磋商文件的磋商书中有明确规定。</w:t>
      </w:r>
    </w:p>
    <w:p w14:paraId="69684E1D">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8</w:t>
      </w:r>
      <w:r>
        <w:rPr>
          <w:rFonts w:ascii="宋体" w:hAnsi="宋体"/>
          <w:color w:val="auto"/>
          <w:sz w:val="24"/>
          <w:szCs w:val="24"/>
          <w:highlight w:val="none"/>
        </w:rPr>
        <w:t>.</w:t>
      </w:r>
      <w:r>
        <w:rPr>
          <w:rFonts w:ascii="Times New Roman" w:hAnsi="Times New Roman"/>
          <w:color w:val="auto"/>
          <w:kern w:val="0"/>
          <w:sz w:val="24"/>
          <w:szCs w:val="24"/>
          <w:highlight w:val="none"/>
        </w:rPr>
        <w:t>合同金额</w:t>
      </w:r>
    </w:p>
    <w:p w14:paraId="01FD488F">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合同总金额见合同书，分项价格在供方的最终报价表中有明确规定。</w:t>
      </w:r>
    </w:p>
    <w:p w14:paraId="5F31DD89">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9</w:t>
      </w:r>
      <w:r>
        <w:rPr>
          <w:rFonts w:ascii="宋体" w:hAnsi="宋体"/>
          <w:color w:val="auto"/>
          <w:sz w:val="24"/>
          <w:szCs w:val="24"/>
          <w:highlight w:val="none"/>
        </w:rPr>
        <w:t>.</w:t>
      </w:r>
      <w:r>
        <w:rPr>
          <w:rFonts w:ascii="Times New Roman" w:hAnsi="Times New Roman"/>
          <w:color w:val="auto"/>
          <w:kern w:val="0"/>
          <w:sz w:val="24"/>
          <w:szCs w:val="24"/>
          <w:highlight w:val="none"/>
        </w:rPr>
        <w:t>交货时间和交货地点</w:t>
      </w:r>
    </w:p>
    <w:p w14:paraId="060D2253">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本合同中货物的交货时间、交货地点在竞争性磋商文件中有明确规定。</w:t>
      </w:r>
    </w:p>
    <w:p w14:paraId="062B321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10</w:t>
      </w:r>
      <w:r>
        <w:rPr>
          <w:rFonts w:ascii="宋体" w:hAnsi="宋体"/>
          <w:color w:val="auto"/>
          <w:sz w:val="24"/>
          <w:szCs w:val="24"/>
          <w:highlight w:val="none"/>
        </w:rPr>
        <w:t>.</w:t>
      </w:r>
      <w:r>
        <w:rPr>
          <w:rFonts w:ascii="Times New Roman" w:hAnsi="Times New Roman"/>
          <w:color w:val="auto"/>
          <w:kern w:val="0"/>
          <w:sz w:val="24"/>
          <w:szCs w:val="24"/>
          <w:highlight w:val="none"/>
        </w:rPr>
        <w:t>合同生效</w:t>
      </w:r>
    </w:p>
    <w:p w14:paraId="0087F8F4">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本合同经供、需双方授权代表签字和加盖公章（或合同专用章）后生效。如申请公证的，合同需经公证机构公证后生效。</w:t>
      </w:r>
    </w:p>
    <w:p w14:paraId="67F55B3A">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11</w:t>
      </w:r>
      <w:r>
        <w:rPr>
          <w:rFonts w:ascii="宋体" w:hAnsi="宋体"/>
          <w:color w:val="auto"/>
          <w:sz w:val="24"/>
          <w:szCs w:val="24"/>
          <w:highlight w:val="none"/>
        </w:rPr>
        <w:t>.</w:t>
      </w:r>
      <w:r>
        <w:rPr>
          <w:rFonts w:ascii="Times New Roman" w:hAnsi="Times New Roman"/>
          <w:color w:val="auto"/>
          <w:kern w:val="0"/>
          <w:sz w:val="24"/>
          <w:szCs w:val="24"/>
          <w:highlight w:val="none"/>
        </w:rPr>
        <w:t>合同的份数</w:t>
      </w:r>
    </w:p>
    <w:p w14:paraId="34FC9A6C">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本合同正本一式　　份，需方执　　份，供方执　　份；副本一式　　份，需方执　　份，供方执　　份，湖北省财政厅政府采购管理处壹份备案。</w:t>
      </w:r>
    </w:p>
    <w:p w14:paraId="0CCAC722">
      <w:pPr>
        <w:pageBreakBefore w:val="0"/>
        <w:kinsoku/>
        <w:overflowPunct/>
        <w:topLinePunct w:val="0"/>
        <w:autoSpaceDE w:val="0"/>
        <w:autoSpaceDN w:val="0"/>
        <w:bidi w:val="0"/>
        <w:adjustRightInd w:val="0"/>
        <w:spacing w:line="360" w:lineRule="auto"/>
        <w:ind w:firstLine="480" w:firstLineChars="200"/>
        <w:rPr>
          <w:rFonts w:ascii="Times New Roman" w:hAnsi="Times New Roman"/>
          <w:color w:val="auto"/>
          <w:kern w:val="0"/>
          <w:sz w:val="24"/>
          <w:szCs w:val="24"/>
          <w:highlight w:val="none"/>
        </w:rPr>
      </w:pPr>
    </w:p>
    <w:p w14:paraId="6D487E6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需　　方：</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供　　方：</w:t>
      </w:r>
    </w:p>
    <w:p w14:paraId="6F792C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单位名称（盖章）：</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单位名称（盖章）：</w:t>
      </w:r>
    </w:p>
    <w:p w14:paraId="4C07F6AC">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单位地址：</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单位地址：</w:t>
      </w:r>
    </w:p>
    <w:p w14:paraId="70C12A98">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法人（负责人）代表授权人(签字)：</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法人（负责人）代表授权人(签字)：</w:t>
      </w:r>
    </w:p>
    <w:p w14:paraId="6923EBFE">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联系人：</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联系人：</w:t>
      </w:r>
    </w:p>
    <w:p w14:paraId="73BFDAB7">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电　　话：</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电　　话：</w:t>
      </w:r>
    </w:p>
    <w:p w14:paraId="539E5B75">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传　　真：</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传　　真：</w:t>
      </w:r>
    </w:p>
    <w:p w14:paraId="3AA540D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邮政编码：</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邮政编码：</w:t>
      </w:r>
    </w:p>
    <w:p w14:paraId="7BC342BB">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开户银行：</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开户银行：</w:t>
      </w:r>
    </w:p>
    <w:p w14:paraId="6B78C1F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帐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帐　　号：</w:t>
      </w:r>
    </w:p>
    <w:p w14:paraId="1A50231A">
      <w:pPr>
        <w:pageBreakBefore w:val="0"/>
        <w:kinsoku/>
        <w:overflowPunct/>
        <w:topLinePunct w:val="0"/>
        <w:autoSpaceDE w:val="0"/>
        <w:autoSpaceDN w:val="0"/>
        <w:bidi w:val="0"/>
        <w:adjustRightInd w:val="0"/>
        <w:spacing w:line="360" w:lineRule="auto"/>
        <w:ind w:firstLine="480" w:firstLineChars="200"/>
        <w:jc w:val="left"/>
        <w:rPr>
          <w:rFonts w:ascii="Times New Roman" w:hAnsi="Times New Roman"/>
          <w:color w:val="auto"/>
          <w:kern w:val="0"/>
          <w:sz w:val="24"/>
          <w:szCs w:val="24"/>
          <w:highlight w:val="none"/>
        </w:rPr>
      </w:pPr>
      <w:r>
        <w:rPr>
          <w:rFonts w:ascii="Times New Roman" w:hAnsi="Times New Roman"/>
          <w:color w:val="auto"/>
          <w:kern w:val="0"/>
          <w:sz w:val="24"/>
          <w:szCs w:val="24"/>
          <w:highlight w:val="none"/>
        </w:rPr>
        <w:t>税　　号：</w:t>
      </w:r>
      <w:r>
        <w:rPr>
          <w:rFonts w:ascii="Times New Roman" w:hAnsi="Times New Roman"/>
          <w:color w:val="auto"/>
          <w:kern w:val="0"/>
          <w:sz w:val="24"/>
          <w:szCs w:val="24"/>
          <w:highlight w:val="none"/>
        </w:rPr>
        <w:tab/>
      </w:r>
      <w:r>
        <w:rPr>
          <w:rFonts w:hint="eastAsia" w:ascii="Times New Roman" w:hAnsi="Times New Roman"/>
          <w:color w:val="auto"/>
          <w:kern w:val="0"/>
          <w:sz w:val="24"/>
          <w:szCs w:val="24"/>
          <w:highlight w:val="none"/>
        </w:rPr>
        <w:t xml:space="preserve">                          </w:t>
      </w:r>
      <w:r>
        <w:rPr>
          <w:rFonts w:ascii="Times New Roman" w:hAnsi="Times New Roman"/>
          <w:color w:val="auto"/>
          <w:kern w:val="0"/>
          <w:sz w:val="24"/>
          <w:szCs w:val="24"/>
          <w:highlight w:val="none"/>
        </w:rPr>
        <w:t>税　　号：</w:t>
      </w:r>
    </w:p>
    <w:p w14:paraId="0842378A">
      <w:pPr>
        <w:pageBreakBefore w:val="0"/>
        <w:widowControl/>
        <w:kinsoku/>
        <w:overflowPunct/>
        <w:topLinePunct w:val="0"/>
        <w:bidi w:val="0"/>
        <w:spacing w:line="360" w:lineRule="auto"/>
        <w:jc w:val="left"/>
        <w:rPr>
          <w:rFonts w:ascii="Times New Roman" w:hAnsi="Times New Roman"/>
          <w:b/>
          <w:color w:val="auto"/>
          <w:sz w:val="24"/>
          <w:szCs w:val="24"/>
          <w:highlight w:val="none"/>
        </w:rPr>
      </w:pPr>
    </w:p>
    <w:p w14:paraId="34FF394C">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r>
        <w:rPr>
          <w:rFonts w:ascii="Times New Roman" w:hAnsi="Times New Roman"/>
          <w:b/>
          <w:color w:val="auto"/>
          <w:sz w:val="32"/>
          <w:szCs w:val="32"/>
          <w:highlight w:val="none"/>
        </w:rPr>
        <w:br w:type="page"/>
      </w:r>
    </w:p>
    <w:p w14:paraId="7738B1AB">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第六章</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响应文件格式</w:t>
      </w:r>
    </w:p>
    <w:p w14:paraId="2398CB76">
      <w:pPr>
        <w:pageBreakBefore w:val="0"/>
        <w:kinsoku/>
        <w:overflowPunct/>
        <w:topLinePunct w:val="0"/>
        <w:bidi w:val="0"/>
        <w:adjustRightInd w:val="0"/>
        <w:snapToGrid w:val="0"/>
        <w:spacing w:line="360" w:lineRule="auto"/>
        <w:jc w:val="center"/>
        <w:outlineLvl w:val="0"/>
        <w:rPr>
          <w:rFonts w:ascii="Times New Roman" w:hAnsi="Times New Roman"/>
          <w:b/>
          <w:color w:val="auto"/>
          <w:sz w:val="18"/>
          <w:szCs w:val="18"/>
          <w:highlight w:val="none"/>
        </w:rPr>
      </w:pPr>
    </w:p>
    <w:p w14:paraId="53C261C0">
      <w:pPr>
        <w:pageBreakBefore w:val="0"/>
        <w:kinsoku/>
        <w:overflowPunct/>
        <w:topLinePunct w:val="0"/>
        <w:bidi w:val="0"/>
        <w:adjustRightInd w:val="0"/>
        <w:snapToGrid w:val="0"/>
        <w:spacing w:line="360" w:lineRule="auto"/>
        <w:outlineLvl w:val="0"/>
        <w:rPr>
          <w:rFonts w:ascii="Times New Roman" w:hAnsi="Times New Roman"/>
          <w:color w:val="auto"/>
          <w:szCs w:val="28"/>
          <w:highlight w:val="none"/>
        </w:rPr>
      </w:pPr>
      <w:r>
        <w:rPr>
          <w:rFonts w:ascii="Times New Roman" w:hAnsi="Times New Roman"/>
          <w:color w:val="auto"/>
          <w:szCs w:val="28"/>
          <w:highlight w:val="none"/>
        </w:rPr>
        <w:t>封面：</w:t>
      </w:r>
    </w:p>
    <w:p w14:paraId="6808C93B">
      <w:pPr>
        <w:pageBreakBefore w:val="0"/>
        <w:tabs>
          <w:tab w:val="left" w:pos="1260"/>
        </w:tabs>
        <w:kinsoku/>
        <w:overflowPunct/>
        <w:topLinePunct w:val="0"/>
        <w:bidi w:val="0"/>
        <w:spacing w:line="360" w:lineRule="auto"/>
        <w:jc w:val="center"/>
        <w:rPr>
          <w:rFonts w:ascii="Times New Roman" w:hAnsi="Times New Roman"/>
          <w:b/>
          <w:bCs/>
          <w:color w:val="auto"/>
          <w:spacing w:val="100"/>
          <w:w w:val="110"/>
          <w:sz w:val="36"/>
          <w:szCs w:val="36"/>
          <w:highlight w:val="none"/>
        </w:rPr>
      </w:pPr>
    </w:p>
    <w:p w14:paraId="16D73804">
      <w:pPr>
        <w:pageBreakBefore w:val="0"/>
        <w:tabs>
          <w:tab w:val="left" w:pos="1260"/>
        </w:tabs>
        <w:kinsoku/>
        <w:overflowPunct/>
        <w:topLinePunct w:val="0"/>
        <w:bidi w:val="0"/>
        <w:spacing w:line="360" w:lineRule="auto"/>
        <w:jc w:val="center"/>
        <w:rPr>
          <w:rFonts w:ascii="Times New Roman" w:hAnsi="Times New Roman"/>
          <w:bCs/>
          <w:color w:val="auto"/>
          <w:sz w:val="48"/>
          <w:szCs w:val="48"/>
          <w:highlight w:val="none"/>
        </w:rPr>
      </w:pPr>
      <w:r>
        <w:rPr>
          <w:rFonts w:hint="eastAsia" w:ascii="Times New Roman" w:hAnsi="Times New Roman"/>
          <w:bCs/>
          <w:color w:val="auto"/>
          <w:sz w:val="48"/>
          <w:szCs w:val="48"/>
          <w:highlight w:val="none"/>
        </w:rPr>
        <w:t>洪湖市</w:t>
      </w:r>
      <w:r>
        <w:rPr>
          <w:rFonts w:ascii="Times New Roman" w:hAnsi="Times New Roman"/>
          <w:bCs/>
          <w:color w:val="auto"/>
          <w:sz w:val="48"/>
          <w:szCs w:val="48"/>
          <w:highlight w:val="none"/>
        </w:rPr>
        <w:t>政府采购</w:t>
      </w:r>
    </w:p>
    <w:p w14:paraId="423906C7">
      <w:pPr>
        <w:pageBreakBefore w:val="0"/>
        <w:tabs>
          <w:tab w:val="left" w:pos="1260"/>
        </w:tabs>
        <w:kinsoku/>
        <w:overflowPunct/>
        <w:topLinePunct w:val="0"/>
        <w:bidi w:val="0"/>
        <w:spacing w:line="360" w:lineRule="auto"/>
        <w:jc w:val="center"/>
        <w:rPr>
          <w:rFonts w:ascii="Times New Roman" w:hAnsi="Times New Roman"/>
          <w:bCs/>
          <w:color w:val="auto"/>
          <w:spacing w:val="100"/>
          <w:w w:val="110"/>
          <w:sz w:val="52"/>
          <w:szCs w:val="52"/>
          <w:highlight w:val="none"/>
        </w:rPr>
      </w:pPr>
    </w:p>
    <w:p w14:paraId="59D89FE0">
      <w:pPr>
        <w:pageBreakBefore w:val="0"/>
        <w:tabs>
          <w:tab w:val="left" w:pos="1260"/>
        </w:tabs>
        <w:kinsoku/>
        <w:overflowPunct/>
        <w:topLinePunct w:val="0"/>
        <w:bidi w:val="0"/>
        <w:spacing w:line="360" w:lineRule="auto"/>
        <w:jc w:val="center"/>
        <w:rPr>
          <w:rFonts w:ascii="Times New Roman" w:hAnsi="Times New Roman" w:eastAsia="方正小标宋简体"/>
          <w:color w:val="auto"/>
          <w:spacing w:val="100"/>
          <w:w w:val="110"/>
          <w:sz w:val="80"/>
          <w:szCs w:val="80"/>
          <w:highlight w:val="none"/>
        </w:rPr>
      </w:pPr>
      <w:r>
        <w:rPr>
          <w:rFonts w:ascii="Times New Roman" w:hAnsi="Times New Roman" w:eastAsia="方正小标宋简体"/>
          <w:bCs/>
          <w:color w:val="auto"/>
          <w:spacing w:val="100"/>
          <w:w w:val="110"/>
          <w:sz w:val="80"/>
          <w:szCs w:val="80"/>
          <w:highlight w:val="none"/>
        </w:rPr>
        <w:t>响应文件</w:t>
      </w:r>
    </w:p>
    <w:p w14:paraId="12F054C8">
      <w:pPr>
        <w:pageBreakBefore w:val="0"/>
        <w:kinsoku/>
        <w:overflowPunct/>
        <w:topLinePunct w:val="0"/>
        <w:bidi w:val="0"/>
        <w:spacing w:line="360" w:lineRule="auto"/>
        <w:jc w:val="center"/>
        <w:rPr>
          <w:rFonts w:ascii="Times New Roman" w:hAnsi="Times New Roman"/>
          <w:color w:val="auto"/>
          <w:sz w:val="44"/>
          <w:szCs w:val="21"/>
          <w:highlight w:val="none"/>
        </w:rPr>
      </w:pPr>
      <w:r>
        <w:rPr>
          <w:rFonts w:ascii="Times New Roman" w:hAnsi="Times New Roman"/>
          <w:color w:val="auto"/>
          <w:sz w:val="44"/>
          <w:szCs w:val="21"/>
          <w:highlight w:val="none"/>
        </w:rPr>
        <w:t>（正本/副本）</w:t>
      </w:r>
    </w:p>
    <w:p w14:paraId="6BB88F9C">
      <w:pPr>
        <w:pageBreakBefore w:val="0"/>
        <w:kinsoku/>
        <w:overflowPunct/>
        <w:topLinePunct w:val="0"/>
        <w:bidi w:val="0"/>
        <w:spacing w:line="360" w:lineRule="auto"/>
        <w:jc w:val="center"/>
        <w:rPr>
          <w:rFonts w:ascii="Times New Roman" w:hAnsi="Times New Roman"/>
          <w:color w:val="auto"/>
          <w:sz w:val="44"/>
          <w:szCs w:val="21"/>
          <w:highlight w:val="none"/>
        </w:rPr>
      </w:pPr>
    </w:p>
    <w:p w14:paraId="02C79A7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4E648C66">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p>
    <w:p w14:paraId="1C8D4205">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项目编号：</w:t>
      </w:r>
    </w:p>
    <w:p w14:paraId="5504E297">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rPr>
      </w:pPr>
      <w:r>
        <w:rPr>
          <w:rFonts w:ascii="Times New Roman" w:hAnsi="Times New Roman" w:eastAsia="黑体"/>
          <w:color w:val="auto"/>
          <w:sz w:val="28"/>
          <w:szCs w:val="28"/>
          <w:highlight w:val="none"/>
        </w:rPr>
        <w:t>项目名称：</w:t>
      </w:r>
    </w:p>
    <w:p w14:paraId="38DB333C">
      <w:pPr>
        <w:pageBreakBefore w:val="0"/>
        <w:kinsoku/>
        <w:overflowPunct/>
        <w:topLinePunct w:val="0"/>
        <w:bidi w:val="0"/>
        <w:spacing w:line="360" w:lineRule="auto"/>
        <w:ind w:firstLine="1120" w:firstLineChars="400"/>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磋商内容：</w:t>
      </w:r>
    </w:p>
    <w:p w14:paraId="2CC9A72C">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71AE83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B6389E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5DBB02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490BB73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A2BD46F">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0F153A18">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115AE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12EF9B95">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3739B823">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257BF090">
      <w:pPr>
        <w:pageBreakBefore w:val="0"/>
        <w:kinsoku/>
        <w:overflowPunct/>
        <w:topLinePunct w:val="0"/>
        <w:bidi w:val="0"/>
        <w:spacing w:line="360" w:lineRule="auto"/>
        <w:ind w:firstLine="840" w:firstLineChars="300"/>
        <w:rPr>
          <w:rFonts w:ascii="Times New Roman" w:hAnsi="Times New Roman" w:eastAsia="黑体"/>
          <w:color w:val="auto"/>
          <w:sz w:val="28"/>
          <w:szCs w:val="28"/>
          <w:highlight w:val="none"/>
        </w:rPr>
      </w:pPr>
    </w:p>
    <w:p w14:paraId="6344BAB2">
      <w:pPr>
        <w:pageBreakBefore w:val="0"/>
        <w:kinsoku/>
        <w:overflowPunct/>
        <w:topLinePunct w:val="0"/>
        <w:bidi w:val="0"/>
        <w:spacing w:line="360" w:lineRule="auto"/>
        <w:jc w:val="center"/>
        <w:rPr>
          <w:rFonts w:ascii="Times New Roman" w:hAnsi="Times New Roman" w:eastAsia="黑体"/>
          <w:color w:val="auto"/>
          <w:sz w:val="28"/>
          <w:szCs w:val="28"/>
          <w:highlight w:val="none"/>
        </w:rPr>
      </w:pP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供应商名称：</w:t>
      </w:r>
    </w:p>
    <w:p w14:paraId="7F334756">
      <w:pPr>
        <w:pageBreakBefore w:val="0"/>
        <w:kinsoku/>
        <w:overflowPunct/>
        <w:topLinePunct w:val="0"/>
        <w:bidi w:val="0"/>
        <w:spacing w:line="360" w:lineRule="auto"/>
        <w:jc w:val="center"/>
        <w:rPr>
          <w:rFonts w:ascii="Times New Roman" w:hAnsi="Times New Roman" w:eastAsia="黑体"/>
          <w:color w:val="auto"/>
          <w:sz w:val="28"/>
          <w:szCs w:val="28"/>
          <w:highlight w:val="none"/>
        </w:rPr>
      </w:pPr>
    </w:p>
    <w:p w14:paraId="1959E0CD">
      <w:pPr>
        <w:pageBreakBefore w:val="0"/>
        <w:kinsoku/>
        <w:overflowPunct/>
        <w:topLinePunct w:val="0"/>
        <w:bidi w:val="0"/>
        <w:spacing w:line="360" w:lineRule="auto"/>
        <w:jc w:val="center"/>
        <w:rPr>
          <w:rFonts w:ascii="Times New Roman" w:hAnsi="Times New Roman" w:eastAsia="黑体"/>
          <w:color w:val="auto"/>
          <w:sz w:val="28"/>
          <w:szCs w:val="28"/>
          <w:highlight w:val="none"/>
          <w:u w:val="single"/>
        </w:rPr>
      </w:pPr>
      <w:r>
        <w:rPr>
          <w:rFonts w:ascii="Times New Roman" w:hAnsi="Times New Roman" w:eastAsia="黑体"/>
          <w:color w:val="auto"/>
          <w:sz w:val="28"/>
          <w:szCs w:val="28"/>
          <w:highlight w:val="none"/>
        </w:rPr>
        <w:t>年</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月</w:t>
      </w:r>
      <w:r>
        <w:rPr>
          <w:rFonts w:hint="eastAsia" w:ascii="Times New Roman" w:hAnsi="Times New Roman" w:eastAsia="黑体"/>
          <w:color w:val="auto"/>
          <w:sz w:val="28"/>
          <w:szCs w:val="28"/>
          <w:highlight w:val="none"/>
        </w:rPr>
        <w:t xml:space="preserve">  </w:t>
      </w:r>
      <w:r>
        <w:rPr>
          <w:rFonts w:ascii="Times New Roman" w:hAnsi="Times New Roman" w:eastAsia="黑体"/>
          <w:color w:val="auto"/>
          <w:sz w:val="28"/>
          <w:szCs w:val="28"/>
          <w:highlight w:val="none"/>
        </w:rPr>
        <w:t>日</w:t>
      </w:r>
    </w:p>
    <w:p w14:paraId="5F6EB4A6">
      <w:pPr>
        <w:pageBreakBefore w:val="0"/>
        <w:kinsoku/>
        <w:overflowPunct/>
        <w:topLinePunct w:val="0"/>
        <w:bidi w:val="0"/>
        <w:adjustRightInd w:val="0"/>
        <w:snapToGrid w:val="0"/>
        <w:spacing w:line="360" w:lineRule="auto"/>
        <w:jc w:val="center"/>
        <w:outlineLvl w:val="0"/>
        <w:rPr>
          <w:rFonts w:ascii="Times New Roman" w:hAnsi="Times New Roman"/>
          <w:b/>
          <w:color w:val="auto"/>
          <w:highlight w:val="none"/>
        </w:rPr>
      </w:pPr>
      <w:r>
        <w:rPr>
          <w:rFonts w:ascii="Times New Roman" w:hAnsi="Times New Roman"/>
          <w:b/>
          <w:color w:val="auto"/>
          <w:highlight w:val="none"/>
        </w:rPr>
        <w:br w:type="page"/>
      </w:r>
    </w:p>
    <w:p w14:paraId="58CDC346">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目</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录</w:t>
      </w:r>
    </w:p>
    <w:p w14:paraId="29A2F453">
      <w:pPr>
        <w:pageBreakBefore w:val="0"/>
        <w:kinsoku/>
        <w:overflowPunct/>
        <w:topLinePunct w:val="0"/>
        <w:bidi w:val="0"/>
        <w:adjustRightInd w:val="0"/>
        <w:snapToGrid w:val="0"/>
        <w:spacing w:line="360" w:lineRule="auto"/>
        <w:jc w:val="center"/>
        <w:outlineLvl w:val="0"/>
        <w:rPr>
          <w:rFonts w:ascii="Times New Roman" w:hAnsi="Times New Roman"/>
          <w:b/>
          <w:color w:val="auto"/>
          <w:sz w:val="32"/>
          <w:szCs w:val="32"/>
          <w:highlight w:val="none"/>
        </w:rPr>
      </w:pPr>
    </w:p>
    <w:p w14:paraId="6ABED67C">
      <w:pPr>
        <w:pageBreakBefore w:val="0"/>
        <w:kinsoku/>
        <w:overflowPunct/>
        <w:topLinePunct w:val="0"/>
        <w:bidi w:val="0"/>
        <w:adjustRightInd w:val="0"/>
        <w:snapToGrid w:val="0"/>
        <w:spacing w:line="360" w:lineRule="auto"/>
        <w:jc w:val="left"/>
        <w:outlineLvl w:val="0"/>
        <w:rPr>
          <w:rFonts w:hint="eastAsia" w:ascii="楷体_GB2312" w:hAnsi="Times New Roman" w:eastAsia="楷体_GB2312"/>
          <w:b/>
          <w:color w:val="auto"/>
          <w:sz w:val="28"/>
          <w:szCs w:val="28"/>
          <w:highlight w:val="none"/>
        </w:rPr>
      </w:pPr>
      <w:r>
        <w:rPr>
          <w:rFonts w:ascii="Times New Roman" w:hAnsi="Times New Roman"/>
          <w:b/>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一</w:t>
      </w:r>
    </w:p>
    <w:p w14:paraId="1C475554">
      <w:pPr>
        <w:pageBreakBefore w:val="0"/>
        <w:kinsoku/>
        <w:overflowPunct/>
        <w:topLinePunct w:val="0"/>
        <w:bidi w:val="0"/>
        <w:adjustRightInd w:val="0"/>
        <w:snapToGrid w:val="0"/>
        <w:spacing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磋</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商</w:t>
      </w:r>
      <w:r>
        <w:rPr>
          <w:rFonts w:hint="eastAsia" w:ascii="Times New Roman" w:hAnsi="Times New Roman" w:eastAsia="方正小标宋简体"/>
          <w:color w:val="auto"/>
          <w:sz w:val="40"/>
          <w:szCs w:val="40"/>
          <w:highlight w:val="none"/>
        </w:rPr>
        <w:t xml:space="preserve">  </w:t>
      </w:r>
      <w:r>
        <w:rPr>
          <w:rFonts w:ascii="Times New Roman" w:hAnsi="Times New Roman" w:eastAsia="方正小标宋简体"/>
          <w:color w:val="auto"/>
          <w:sz w:val="40"/>
          <w:szCs w:val="40"/>
          <w:highlight w:val="none"/>
        </w:rPr>
        <w:t>书</w:t>
      </w:r>
    </w:p>
    <w:p w14:paraId="34BE38B8">
      <w:pPr>
        <w:pageBreakBefore w:val="0"/>
        <w:kinsoku/>
        <w:overflowPunct/>
        <w:topLinePunct w:val="0"/>
        <w:bidi w:val="0"/>
        <w:spacing w:line="360" w:lineRule="auto"/>
        <w:rPr>
          <w:rFonts w:ascii="Times New Roman" w:hAnsi="Times New Roman" w:eastAsia="仿宋_GB2312"/>
          <w:color w:val="auto"/>
          <w:sz w:val="24"/>
          <w:szCs w:val="24"/>
          <w:highlight w:val="none"/>
        </w:rPr>
      </w:pPr>
    </w:p>
    <w:p w14:paraId="10BEF38C">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致：</w:t>
      </w:r>
      <w:r>
        <w:rPr>
          <w:rFonts w:ascii="Times New Roman" w:hAnsi="Times New Roman"/>
          <w:color w:val="auto"/>
          <w:sz w:val="24"/>
          <w:szCs w:val="24"/>
          <w:highlight w:val="none"/>
          <w:u w:val="single"/>
        </w:rPr>
        <w:t>(</w:t>
      </w:r>
      <w:r>
        <w:rPr>
          <w:rFonts w:hint="eastAsia" w:ascii="Times New Roman" w:hAnsi="Times New Roman"/>
          <w:color w:val="auto"/>
          <w:sz w:val="24"/>
          <w:szCs w:val="24"/>
          <w:highlight w:val="none"/>
          <w:u w:val="single"/>
          <w:lang w:eastAsia="zh-CN"/>
        </w:rPr>
        <w:t>分散采购</w:t>
      </w:r>
      <w:r>
        <w:rPr>
          <w:rFonts w:ascii="Times New Roman" w:hAnsi="Times New Roman"/>
          <w:color w:val="auto"/>
          <w:sz w:val="24"/>
          <w:szCs w:val="24"/>
          <w:highlight w:val="none"/>
          <w:u w:val="single"/>
        </w:rPr>
        <w:t>机构)</w:t>
      </w:r>
    </w:p>
    <w:p w14:paraId="6683DF8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根据贵方</w:t>
      </w:r>
      <w:r>
        <w:rPr>
          <w:rFonts w:ascii="Times New Roman" w:hAnsi="Times New Roman"/>
          <w:color w:val="auto"/>
          <w:sz w:val="24"/>
          <w:szCs w:val="24"/>
          <w:highlight w:val="none"/>
          <w:u w:val="single"/>
        </w:rPr>
        <w:t>（项目名称/项目编号）</w:t>
      </w:r>
      <w:r>
        <w:rPr>
          <w:rFonts w:ascii="Times New Roman" w:hAnsi="Times New Roman"/>
          <w:color w:val="auto"/>
          <w:sz w:val="24"/>
          <w:szCs w:val="24"/>
          <w:highlight w:val="none"/>
        </w:rPr>
        <w:t>项目政府采购的磋商邀请，</w:t>
      </w:r>
      <w:r>
        <w:rPr>
          <w:rFonts w:ascii="Times New Roman" w:hAnsi="Times New Roman"/>
          <w:color w:val="auto"/>
          <w:sz w:val="24"/>
          <w:szCs w:val="24"/>
          <w:highlight w:val="none"/>
          <w:u w:val="single"/>
        </w:rPr>
        <w:t>签字代表</w:t>
      </w:r>
      <w:r>
        <w:rPr>
          <w:rFonts w:ascii="Times New Roman" w:hAnsi="Times New Roman"/>
          <w:color w:val="auto"/>
          <w:sz w:val="24"/>
          <w:szCs w:val="24"/>
          <w:highlight w:val="none"/>
        </w:rPr>
        <w:t>（姓名和职务）经正式授权并代表供应商</w:t>
      </w:r>
      <w:r>
        <w:rPr>
          <w:rFonts w:ascii="Times New Roman" w:hAnsi="Times New Roman"/>
          <w:color w:val="auto"/>
          <w:sz w:val="24"/>
          <w:szCs w:val="24"/>
          <w:highlight w:val="none"/>
          <w:u w:val="single"/>
        </w:rPr>
        <w:t>（供应商名称、地址）提交下述响应文件正本一份、副本二份</w:t>
      </w:r>
      <w:r>
        <w:rPr>
          <w:rFonts w:ascii="Times New Roman" w:hAnsi="Times New Roman"/>
          <w:color w:val="auto"/>
          <w:sz w:val="24"/>
          <w:szCs w:val="24"/>
          <w:highlight w:val="none"/>
        </w:rPr>
        <w:t>。</w:t>
      </w:r>
    </w:p>
    <w:p w14:paraId="740851A4">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1）磋商书(附件1) ；</w:t>
      </w:r>
    </w:p>
    <w:p w14:paraId="2C8404C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2）报价组成情况表(附件2) ；</w:t>
      </w:r>
    </w:p>
    <w:p w14:paraId="2EB53D7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3）货物（服务）清单(附件3)；</w:t>
      </w:r>
    </w:p>
    <w:p w14:paraId="126BC687">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4）资格性符合性检查对照表(附件4)；</w:t>
      </w:r>
    </w:p>
    <w:p w14:paraId="6CA4C64B">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5）技术</w:t>
      </w:r>
      <w:r>
        <w:rPr>
          <w:rFonts w:hint="eastAsia" w:ascii="Times New Roman" w:hAnsi="Times New Roman"/>
          <w:color w:val="auto"/>
          <w:sz w:val="24"/>
          <w:szCs w:val="24"/>
          <w:highlight w:val="none"/>
        </w:rPr>
        <w:t>、服务</w:t>
      </w:r>
      <w:r>
        <w:rPr>
          <w:rFonts w:ascii="Times New Roman" w:hAnsi="Times New Roman"/>
          <w:color w:val="auto"/>
          <w:sz w:val="24"/>
          <w:szCs w:val="24"/>
          <w:highlight w:val="none"/>
        </w:rPr>
        <w:t>响应、偏离情况说明表(附件5)；</w:t>
      </w:r>
    </w:p>
    <w:p w14:paraId="64A3DCE1">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6）</w:t>
      </w:r>
      <w:r>
        <w:rPr>
          <w:rFonts w:hint="eastAsia" w:ascii="Times New Roman" w:hAnsi="Times New Roman"/>
          <w:color w:val="auto"/>
          <w:sz w:val="24"/>
          <w:szCs w:val="24"/>
          <w:highlight w:val="none"/>
        </w:rPr>
        <w:t>商务</w:t>
      </w:r>
      <w:r>
        <w:rPr>
          <w:rFonts w:ascii="Times New Roman" w:hAnsi="Times New Roman"/>
          <w:color w:val="auto"/>
          <w:sz w:val="24"/>
          <w:szCs w:val="24"/>
          <w:highlight w:val="none"/>
        </w:rPr>
        <w:t>响应、偏离情况说明表（附件6）；</w:t>
      </w:r>
    </w:p>
    <w:p w14:paraId="4BDE44B5">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7）法人（负责人）代表授权书（附件7）；</w:t>
      </w:r>
    </w:p>
    <w:p w14:paraId="0DCDD48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8）法人或者其他组织的营业执照等证明文件，自然人的身份证明(附件8)；</w:t>
      </w:r>
    </w:p>
    <w:p w14:paraId="72EA03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9）财务状况报告，依法缴纳税收和社会保障资金的相关材料(附件9)；</w:t>
      </w:r>
    </w:p>
    <w:p w14:paraId="17354E3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10）具备履行合同所必需的设备和专业技术能力的证明材料(附件10)；</w:t>
      </w:r>
    </w:p>
    <w:p w14:paraId="4805F1A9">
      <w:pPr>
        <w:pageBreakBefore w:val="0"/>
        <w:kinsoku/>
        <w:overflowPunct/>
        <w:topLinePunct w:val="0"/>
        <w:bidi w:val="0"/>
        <w:spacing w:line="360" w:lineRule="auto"/>
        <w:ind w:firstLine="480" w:firstLineChars="200"/>
        <w:rPr>
          <w:rFonts w:ascii="Times New Roman" w:hAnsi="Times New Roman"/>
          <w:color w:val="auto"/>
          <w:spacing w:val="-6"/>
          <w:sz w:val="24"/>
          <w:szCs w:val="24"/>
          <w:highlight w:val="none"/>
        </w:rPr>
      </w:pPr>
      <w:r>
        <w:rPr>
          <w:rFonts w:ascii="Times New Roman" w:hAnsi="Times New Roman"/>
          <w:color w:val="auto"/>
          <w:sz w:val="24"/>
          <w:szCs w:val="24"/>
          <w:highlight w:val="none"/>
        </w:rPr>
        <w:t>11）参</w:t>
      </w:r>
      <w:r>
        <w:rPr>
          <w:rFonts w:ascii="Times New Roman" w:hAnsi="Times New Roman"/>
          <w:color w:val="auto"/>
          <w:spacing w:val="-6"/>
          <w:sz w:val="24"/>
          <w:szCs w:val="24"/>
          <w:highlight w:val="none"/>
        </w:rPr>
        <w:t>加政府采购活动前3年内在经营活动中没有重大违法记录的书面声明(附件11)；</w:t>
      </w:r>
    </w:p>
    <w:p w14:paraId="6D11FBB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12）未被列入“信用中国”网站(www.creditchina. gov.cn)失信被执行人、重大税收违法案件当事人名单、政府采购严重违法失信行为记录名单的网页打印件(附件12)。</w:t>
      </w:r>
    </w:p>
    <w:p w14:paraId="64968862">
      <w:pPr>
        <w:pStyle w:val="19"/>
        <w:pageBreakBefore w:val="0"/>
        <w:kinsoku/>
        <w:overflowPunct/>
        <w:topLinePunct w:val="0"/>
        <w:bidi w:val="0"/>
        <w:spacing w:line="360" w:lineRule="auto"/>
        <w:ind w:firstLine="480" w:firstLineChars="200"/>
        <w:rPr>
          <w:rFonts w:ascii="Times New Roman" w:hAnsi="Times New Roman" w:cs="Times New Roman"/>
          <w:color w:val="auto"/>
          <w:sz w:val="24"/>
          <w:highlight w:val="none"/>
        </w:rPr>
      </w:pPr>
      <w:r>
        <w:rPr>
          <w:rFonts w:ascii="Times New Roman" w:hAnsi="Times New Roman" w:cs="Times New Roman"/>
          <w:color w:val="auto"/>
          <w:sz w:val="24"/>
          <w:highlight w:val="none"/>
        </w:rPr>
        <w:t>13</w:t>
      </w:r>
      <w:r>
        <w:rPr>
          <w:rFonts w:hint="eastAsia" w:ascii="Times New Roman" w:hAnsi="Times New Roman" w:cs="Times New Roman"/>
          <w:color w:val="auto"/>
          <w:sz w:val="24"/>
          <w:highlight w:val="none"/>
        </w:rPr>
        <w:t>）</w:t>
      </w:r>
      <w:r>
        <w:rPr>
          <w:rFonts w:ascii="Times New Roman" w:hAnsi="Times New Roman" w:cs="Times New Roman"/>
          <w:color w:val="auto"/>
          <w:sz w:val="24"/>
          <w:highlight w:val="none"/>
        </w:rPr>
        <w:t>《中小企业声明函》</w:t>
      </w:r>
      <w:r>
        <w:rPr>
          <w:rFonts w:ascii="Times New Roman" w:hAnsi="Times New Roman" w:cs="Times New Roman"/>
          <w:bCs/>
          <w:color w:val="auto"/>
          <w:sz w:val="24"/>
          <w:highlight w:val="none"/>
        </w:rPr>
        <w:t>、《残疾人福利性单位声明函》或属于监狱企业的证明文件（如果有的话）</w:t>
      </w:r>
      <w:r>
        <w:rPr>
          <w:rFonts w:ascii="Times New Roman" w:hAnsi="Times New Roman" w:cs="Times New Roman"/>
          <w:color w:val="auto"/>
          <w:sz w:val="24"/>
          <w:highlight w:val="none"/>
        </w:rPr>
        <w:t>(附件13)。</w:t>
      </w:r>
    </w:p>
    <w:p w14:paraId="1123E4B7">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color w:val="auto"/>
          <w:sz w:val="24"/>
          <w:szCs w:val="24"/>
          <w:highlight w:val="none"/>
        </w:rPr>
        <w:t>本文件要求提供的其他资格证明文件及资料。</w:t>
      </w:r>
    </w:p>
    <w:p w14:paraId="7DFDB0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在此，我方宣布同意如下：</w:t>
      </w:r>
    </w:p>
    <w:p w14:paraId="4CE520E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1</w:t>
      </w:r>
      <w:r>
        <w:rPr>
          <w:rFonts w:ascii="宋体" w:hAnsi="宋体"/>
          <w:color w:val="auto"/>
          <w:sz w:val="24"/>
          <w:szCs w:val="24"/>
          <w:highlight w:val="none"/>
        </w:rPr>
        <w:t>.</w:t>
      </w:r>
      <w:r>
        <w:rPr>
          <w:rFonts w:ascii="Times New Roman" w:hAnsi="Times New Roman"/>
          <w:color w:val="auto"/>
          <w:sz w:val="24"/>
          <w:szCs w:val="24"/>
          <w:highlight w:val="none"/>
        </w:rPr>
        <w:t>将按磋商文件的规定履行合同责任和义务；</w:t>
      </w:r>
    </w:p>
    <w:p w14:paraId="4BA0653C">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2</w:t>
      </w:r>
      <w:r>
        <w:rPr>
          <w:rFonts w:ascii="宋体" w:hAnsi="宋体"/>
          <w:color w:val="auto"/>
          <w:sz w:val="24"/>
          <w:szCs w:val="24"/>
          <w:highlight w:val="none"/>
        </w:rPr>
        <w:t>.</w:t>
      </w:r>
      <w:r>
        <w:rPr>
          <w:rFonts w:ascii="Times New Roman" w:hAnsi="Times New Roman"/>
          <w:color w:val="auto"/>
          <w:sz w:val="24"/>
          <w:szCs w:val="24"/>
          <w:highlight w:val="none"/>
        </w:rPr>
        <w:t>已详细审查全部磋商文件，包括第（编号、补遗书）（如果有的话）；我们完全理解并同意放弃对这方面有不明及误解的权力；</w:t>
      </w:r>
    </w:p>
    <w:p w14:paraId="089D1DA3">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3</w:t>
      </w:r>
      <w:r>
        <w:rPr>
          <w:rFonts w:ascii="宋体" w:hAnsi="宋体"/>
          <w:color w:val="auto"/>
          <w:sz w:val="24"/>
          <w:szCs w:val="24"/>
          <w:highlight w:val="none"/>
        </w:rPr>
        <w:t>.</w:t>
      </w:r>
      <w:r>
        <w:rPr>
          <w:rFonts w:ascii="Times New Roman" w:hAnsi="Times New Roman"/>
          <w:color w:val="auto"/>
          <w:sz w:val="24"/>
          <w:szCs w:val="24"/>
          <w:highlight w:val="none"/>
        </w:rPr>
        <w:t>本响应文件有效期为自磋商之日起个日历日；</w:t>
      </w:r>
    </w:p>
    <w:p w14:paraId="3D2626B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4</w:t>
      </w:r>
      <w:r>
        <w:rPr>
          <w:rFonts w:ascii="宋体" w:hAnsi="宋体"/>
          <w:color w:val="auto"/>
          <w:sz w:val="24"/>
          <w:szCs w:val="24"/>
          <w:highlight w:val="none"/>
        </w:rPr>
        <w:t>.</w:t>
      </w:r>
      <w:r>
        <w:rPr>
          <w:rFonts w:ascii="Times New Roman" w:hAnsi="Times New Roman"/>
          <w:color w:val="auto"/>
          <w:sz w:val="24"/>
          <w:szCs w:val="24"/>
          <w:highlight w:val="none"/>
        </w:rPr>
        <w:t>同意提供按照贵方可能要求的与其磋商有关的一切数据或资料；</w:t>
      </w:r>
    </w:p>
    <w:p w14:paraId="2F7F0839">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5</w:t>
      </w:r>
      <w:r>
        <w:rPr>
          <w:rFonts w:ascii="宋体" w:hAnsi="宋体"/>
          <w:color w:val="auto"/>
          <w:sz w:val="24"/>
          <w:szCs w:val="24"/>
          <w:highlight w:val="none"/>
        </w:rPr>
        <w:t>.</w:t>
      </w:r>
      <w:r>
        <w:rPr>
          <w:rFonts w:ascii="Times New Roman" w:hAnsi="Times New Roman"/>
          <w:color w:val="auto"/>
          <w:sz w:val="24"/>
          <w:szCs w:val="24"/>
          <w:highlight w:val="none"/>
        </w:rPr>
        <w:t>与本磋商有关的一切正式往来信函请寄：</w:t>
      </w:r>
    </w:p>
    <w:p w14:paraId="47A99AA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地址：</w:t>
      </w:r>
    </w:p>
    <w:p w14:paraId="065E0818">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电话/传真：</w:t>
      </w:r>
    </w:p>
    <w:p w14:paraId="5526E67E">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电子信箱：</w:t>
      </w:r>
    </w:p>
    <w:p w14:paraId="5109E99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供应商（授权）代表签字：</w:t>
      </w:r>
    </w:p>
    <w:p w14:paraId="4AFCB8DF">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供应商名称（公章）：</w:t>
      </w:r>
    </w:p>
    <w:p w14:paraId="6889E1DA">
      <w:pPr>
        <w:pageBreakBefore w:val="0"/>
        <w:kinsoku/>
        <w:overflowPunct/>
        <w:topLinePunct w:val="0"/>
        <w:bidi w:val="0"/>
        <w:spacing w:line="360" w:lineRule="auto"/>
        <w:ind w:firstLine="480" w:firstLineChars="200"/>
        <w:rPr>
          <w:rFonts w:ascii="Times New Roman" w:hAnsi="Times New Roman"/>
          <w:color w:val="auto"/>
          <w:sz w:val="24"/>
          <w:szCs w:val="24"/>
          <w:highlight w:val="none"/>
        </w:rPr>
      </w:pPr>
      <w:r>
        <w:rPr>
          <w:rFonts w:ascii="Times New Roman" w:hAnsi="Times New Roman"/>
          <w:color w:val="auto"/>
          <w:sz w:val="24"/>
          <w:szCs w:val="24"/>
          <w:highlight w:val="none"/>
        </w:rPr>
        <w:t>日期：</w:t>
      </w:r>
    </w:p>
    <w:p w14:paraId="1E0860BD">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二</w:t>
      </w:r>
    </w:p>
    <w:p w14:paraId="17804A6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报价组成情况表</w:t>
      </w:r>
    </w:p>
    <w:p w14:paraId="24F244CD">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68DD8C64">
      <w:pPr>
        <w:pageBreakBefore w:val="0"/>
        <w:kinsoku/>
        <w:overflowPunct/>
        <w:topLinePunct w:val="0"/>
        <w:bidi w:val="0"/>
        <w:spacing w:line="360" w:lineRule="auto"/>
        <w:rPr>
          <w:rFonts w:ascii="Times New Roman" w:hAnsi="Times New Roman"/>
          <w:color w:val="auto"/>
          <w:sz w:val="24"/>
          <w:highlight w:val="none"/>
          <w:u w:val="single"/>
        </w:rPr>
      </w:pPr>
      <w:r>
        <w:rPr>
          <w:rFonts w:ascii="Times New Roman" w:hAnsi="Times New Roman"/>
          <w:color w:val="auto"/>
          <w:sz w:val="24"/>
          <w:highlight w:val="none"/>
        </w:rPr>
        <w:t>项目编号（包号）：</w:t>
      </w:r>
    </w:p>
    <w:p w14:paraId="2B0B577A">
      <w:pPr>
        <w:pageBreakBefore w:val="0"/>
        <w:kinsoku/>
        <w:overflowPunct/>
        <w:topLinePunct w:val="0"/>
        <w:bidi w:val="0"/>
        <w:spacing w:afterLines="50" w:line="360" w:lineRule="auto"/>
        <w:rPr>
          <w:rFonts w:ascii="Times New Roman" w:hAnsi="Times New Roman" w:eastAsia="仿宋_GB2312"/>
          <w:color w:val="auto"/>
          <w:sz w:val="24"/>
          <w:highlight w:val="none"/>
          <w:u w:val="single"/>
        </w:rPr>
      </w:pPr>
      <w:r>
        <w:rPr>
          <w:rFonts w:ascii="Times New Roman" w:hAnsi="Times New Roman"/>
          <w:color w:val="auto"/>
          <w:sz w:val="24"/>
          <w:highlight w:val="none"/>
        </w:rPr>
        <w:t>项目名称：</w:t>
      </w:r>
    </w:p>
    <w:tbl>
      <w:tblPr>
        <w:tblStyle w:val="30"/>
        <w:tblW w:w="900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14"/>
        <w:gridCol w:w="2036"/>
        <w:gridCol w:w="1347"/>
        <w:gridCol w:w="877"/>
        <w:gridCol w:w="1801"/>
        <w:gridCol w:w="994"/>
        <w:gridCol w:w="1237"/>
      </w:tblGrid>
      <w:tr w14:paraId="7FAB7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1238702F">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036" w:type="dxa"/>
            <w:vAlign w:val="center"/>
          </w:tcPr>
          <w:p w14:paraId="504A8CA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名称（服务）</w:t>
            </w:r>
          </w:p>
        </w:tc>
        <w:tc>
          <w:tcPr>
            <w:tcW w:w="1347" w:type="dxa"/>
            <w:vAlign w:val="center"/>
          </w:tcPr>
          <w:p w14:paraId="7A843996">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877" w:type="dxa"/>
            <w:vAlign w:val="center"/>
          </w:tcPr>
          <w:p w14:paraId="4E5F0E70">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c>
          <w:tcPr>
            <w:tcW w:w="1801" w:type="dxa"/>
            <w:vAlign w:val="center"/>
          </w:tcPr>
          <w:p w14:paraId="04A1F62B">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994" w:type="dxa"/>
            <w:vAlign w:val="center"/>
          </w:tcPr>
          <w:p w14:paraId="64E55BC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单价</w:t>
            </w:r>
          </w:p>
        </w:tc>
        <w:tc>
          <w:tcPr>
            <w:tcW w:w="1237" w:type="dxa"/>
            <w:vAlign w:val="center"/>
          </w:tcPr>
          <w:p w14:paraId="6DF1B44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备注</w:t>
            </w:r>
          </w:p>
        </w:tc>
      </w:tr>
      <w:tr w14:paraId="0B48821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bottom w:val="single" w:color="auto" w:sz="4" w:space="0"/>
            </w:tcBorders>
            <w:vAlign w:val="center"/>
          </w:tcPr>
          <w:p w14:paraId="35018BAA">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036" w:type="dxa"/>
            <w:vAlign w:val="center"/>
          </w:tcPr>
          <w:p w14:paraId="476D82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0AB1F23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60078E8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7132358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F42EB4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067EF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7AE37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tcBorders>
              <w:top w:val="single" w:color="auto" w:sz="4" w:space="0"/>
            </w:tcBorders>
            <w:vAlign w:val="center"/>
          </w:tcPr>
          <w:p w14:paraId="75FEF37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036" w:type="dxa"/>
            <w:vAlign w:val="center"/>
          </w:tcPr>
          <w:p w14:paraId="0D6909B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50137BA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B99BEE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EC63F7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ADBF5D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1BAC276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48013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44AD168D">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036" w:type="dxa"/>
            <w:vAlign w:val="center"/>
          </w:tcPr>
          <w:p w14:paraId="44728D2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79F0AE3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7D6B8B1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443EE1A4">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519958F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6F86E97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639E5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5A8421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036" w:type="dxa"/>
            <w:vAlign w:val="center"/>
          </w:tcPr>
          <w:p w14:paraId="64DF0F3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347" w:type="dxa"/>
            <w:vAlign w:val="center"/>
          </w:tcPr>
          <w:p w14:paraId="2639C0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36F9F1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33D0022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48F60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72FC58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F261E4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7AA36B1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036" w:type="dxa"/>
            <w:vAlign w:val="center"/>
          </w:tcPr>
          <w:p w14:paraId="6591916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1347" w:type="dxa"/>
            <w:vAlign w:val="center"/>
          </w:tcPr>
          <w:p w14:paraId="0747EDE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0B656A5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5ABE418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263A4A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0081DB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494AEE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1" w:hRule="atLeast"/>
          <w:jc w:val="center"/>
        </w:trPr>
        <w:tc>
          <w:tcPr>
            <w:tcW w:w="714" w:type="dxa"/>
            <w:vAlign w:val="center"/>
          </w:tcPr>
          <w:p w14:paraId="09C6883B">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036" w:type="dxa"/>
            <w:vAlign w:val="center"/>
          </w:tcPr>
          <w:p w14:paraId="63046D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其它</w:t>
            </w:r>
          </w:p>
        </w:tc>
        <w:tc>
          <w:tcPr>
            <w:tcW w:w="1347" w:type="dxa"/>
            <w:vAlign w:val="center"/>
          </w:tcPr>
          <w:p w14:paraId="7E92D30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877" w:type="dxa"/>
            <w:vAlign w:val="center"/>
          </w:tcPr>
          <w:p w14:paraId="437C6F8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801" w:type="dxa"/>
            <w:vAlign w:val="center"/>
          </w:tcPr>
          <w:p w14:paraId="20E91A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994" w:type="dxa"/>
            <w:vAlign w:val="center"/>
          </w:tcPr>
          <w:p w14:paraId="0498F73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237" w:type="dxa"/>
            <w:vAlign w:val="center"/>
          </w:tcPr>
          <w:p w14:paraId="25D14B5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4AC0F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12" w:hRule="atLeast"/>
          <w:jc w:val="center"/>
        </w:trPr>
        <w:tc>
          <w:tcPr>
            <w:tcW w:w="6775" w:type="dxa"/>
            <w:gridSpan w:val="5"/>
            <w:vAlign w:val="center"/>
          </w:tcPr>
          <w:p w14:paraId="2571A8A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r>
              <w:rPr>
                <w:rFonts w:ascii="Times New Roman" w:hAnsi="Times New Roman"/>
                <w:color w:val="auto"/>
                <w:sz w:val="24"/>
                <w:highlight w:val="none"/>
              </w:rPr>
              <w:t>总</w:t>
            </w:r>
            <w:r>
              <w:rPr>
                <w:rFonts w:hint="eastAsia" w:ascii="Times New Roman" w:hAnsi="Times New Roman"/>
                <w:color w:val="auto"/>
                <w:sz w:val="24"/>
                <w:highlight w:val="none"/>
              </w:rPr>
              <w:t xml:space="preserve">  </w:t>
            </w:r>
            <w:r>
              <w:rPr>
                <w:rFonts w:ascii="Times New Roman" w:hAnsi="Times New Roman"/>
                <w:color w:val="auto"/>
                <w:sz w:val="24"/>
                <w:highlight w:val="none"/>
              </w:rPr>
              <w:t>计</w:t>
            </w:r>
          </w:p>
        </w:tc>
        <w:tc>
          <w:tcPr>
            <w:tcW w:w="2231" w:type="dxa"/>
            <w:gridSpan w:val="2"/>
            <w:vAlign w:val="center"/>
          </w:tcPr>
          <w:p w14:paraId="538BC0B9">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11B3A90C">
      <w:pPr>
        <w:pageBreakBefore w:val="0"/>
        <w:kinsoku/>
        <w:overflowPunct/>
        <w:topLinePunct w:val="0"/>
        <w:bidi w:val="0"/>
        <w:spacing w:line="360" w:lineRule="auto"/>
        <w:ind w:firstLine="360" w:firstLineChars="150"/>
        <w:rPr>
          <w:rFonts w:ascii="Times New Roman" w:hAnsi="Times New Roman"/>
          <w:color w:val="auto"/>
          <w:sz w:val="24"/>
          <w:szCs w:val="24"/>
          <w:highlight w:val="none"/>
        </w:rPr>
      </w:pPr>
      <w:r>
        <w:rPr>
          <w:rFonts w:ascii="Times New Roman" w:hAnsi="Times New Roman"/>
          <w:color w:val="auto"/>
          <w:sz w:val="24"/>
          <w:szCs w:val="24"/>
          <w:highlight w:val="none"/>
        </w:rPr>
        <w:t>注：本表仅作为磋商小组了解报价组成情况，不作为最终成交价。</w:t>
      </w:r>
    </w:p>
    <w:p w14:paraId="1948A8B6">
      <w:pPr>
        <w:pageBreakBefore w:val="0"/>
        <w:kinsoku/>
        <w:overflowPunct/>
        <w:topLinePunct w:val="0"/>
        <w:bidi w:val="0"/>
        <w:spacing w:line="360" w:lineRule="auto"/>
        <w:rPr>
          <w:rFonts w:ascii="Times New Roman" w:hAnsi="Times New Roman"/>
          <w:color w:val="auto"/>
          <w:sz w:val="24"/>
          <w:szCs w:val="24"/>
          <w:highlight w:val="none"/>
        </w:rPr>
      </w:pPr>
    </w:p>
    <w:p w14:paraId="1B6612F9">
      <w:pPr>
        <w:pageBreakBefore w:val="0"/>
        <w:kinsoku/>
        <w:overflowPunct/>
        <w:topLinePunct w:val="0"/>
        <w:bidi w:val="0"/>
        <w:spacing w:line="360" w:lineRule="auto"/>
        <w:rPr>
          <w:rFonts w:ascii="Times New Roman" w:hAnsi="Times New Roman"/>
          <w:color w:val="auto"/>
          <w:sz w:val="24"/>
          <w:szCs w:val="24"/>
          <w:highlight w:val="none"/>
        </w:rPr>
      </w:pPr>
    </w:p>
    <w:p w14:paraId="4EA4C143">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5A9608E1">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78473AAE">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三</w:t>
      </w:r>
    </w:p>
    <w:p w14:paraId="45E91B39">
      <w:pPr>
        <w:pageBreakBefore w:val="0"/>
        <w:widowControl/>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货物（服务）清单</w:t>
      </w:r>
    </w:p>
    <w:p w14:paraId="29A13118">
      <w:pPr>
        <w:pageBreakBefore w:val="0"/>
        <w:kinsoku/>
        <w:overflowPunct/>
        <w:topLinePunct w:val="0"/>
        <w:bidi w:val="0"/>
        <w:spacing w:line="360" w:lineRule="auto"/>
        <w:rPr>
          <w:rFonts w:ascii="Times New Roman" w:hAnsi="Times New Roman"/>
          <w:color w:val="auto"/>
          <w:sz w:val="24"/>
          <w:highlight w:val="none"/>
        </w:rPr>
      </w:pPr>
    </w:p>
    <w:p w14:paraId="2B470C22">
      <w:pPr>
        <w:pageBreakBefore w:val="0"/>
        <w:kinsoku/>
        <w:overflowPunct/>
        <w:topLinePunct w:val="0"/>
        <w:bidi w:val="0"/>
        <w:spacing w:afterLines="50" w:line="360" w:lineRule="auto"/>
        <w:rPr>
          <w:rFonts w:ascii="Times New Roman" w:hAnsi="Times New Roman"/>
          <w:color w:val="auto"/>
          <w:sz w:val="24"/>
          <w:highlight w:val="none"/>
        </w:rPr>
      </w:pPr>
      <w:r>
        <w:rPr>
          <w:rFonts w:ascii="Times New Roman" w:hAnsi="Times New Roman"/>
          <w:color w:val="auto"/>
          <w:sz w:val="24"/>
          <w:highlight w:val="none"/>
        </w:rPr>
        <w:t>项目编号（包号）：</w:t>
      </w:r>
    </w:p>
    <w:p w14:paraId="5A691378">
      <w:pPr>
        <w:pageBreakBefore w:val="0"/>
        <w:kinsoku/>
        <w:overflowPunct/>
        <w:topLinePunct w:val="0"/>
        <w:bidi w:val="0"/>
        <w:spacing w:afterLines="50" w:line="360" w:lineRule="auto"/>
        <w:rPr>
          <w:rFonts w:ascii="Times New Roman" w:hAnsi="Times New Roman"/>
          <w:b/>
          <w:bCs/>
          <w:color w:val="auto"/>
          <w:sz w:val="32"/>
          <w:szCs w:val="32"/>
          <w:highlight w:val="none"/>
        </w:rPr>
      </w:pPr>
      <w:r>
        <w:rPr>
          <w:rFonts w:ascii="Times New Roman" w:hAnsi="Times New Roman"/>
          <w:color w:val="auto"/>
          <w:sz w:val="24"/>
          <w:highlight w:val="none"/>
        </w:rPr>
        <w:t>项目名称：</w:t>
      </w:r>
    </w:p>
    <w:tbl>
      <w:tblPr>
        <w:tblStyle w:val="30"/>
        <w:tblW w:w="8816"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0"/>
        <w:gridCol w:w="2226"/>
        <w:gridCol w:w="1587"/>
        <w:gridCol w:w="1588"/>
        <w:gridCol w:w="1731"/>
        <w:gridCol w:w="1154"/>
      </w:tblGrid>
      <w:tr w14:paraId="7EF639D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E1C80F7">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序号</w:t>
            </w:r>
          </w:p>
        </w:tc>
        <w:tc>
          <w:tcPr>
            <w:tcW w:w="2226" w:type="dxa"/>
            <w:vAlign w:val="center"/>
          </w:tcPr>
          <w:p w14:paraId="23153B43">
            <w:pPr>
              <w:pageBreakBefore w:val="0"/>
              <w:kinsoku/>
              <w:overflowPunct/>
              <w:topLinePunct w:val="0"/>
              <w:bidi w:val="0"/>
              <w:adjustRightInd w:val="0"/>
              <w:snapToGrid w:val="0"/>
              <w:spacing w:line="360" w:lineRule="auto"/>
              <w:ind w:left="-88" w:leftChars="-42"/>
              <w:jc w:val="center"/>
              <w:rPr>
                <w:rFonts w:ascii="Times New Roman" w:hAnsi="Times New Roman" w:eastAsia="黑体"/>
                <w:color w:val="auto"/>
                <w:sz w:val="24"/>
                <w:highlight w:val="none"/>
              </w:rPr>
            </w:pPr>
            <w:r>
              <w:rPr>
                <w:rFonts w:ascii="Times New Roman" w:hAnsi="Times New Roman" w:eastAsia="黑体"/>
                <w:color w:val="auto"/>
                <w:sz w:val="24"/>
                <w:highlight w:val="none"/>
              </w:rPr>
              <w:t>货物（服务）名称</w:t>
            </w:r>
          </w:p>
        </w:tc>
        <w:tc>
          <w:tcPr>
            <w:tcW w:w="1587" w:type="dxa"/>
            <w:tcBorders>
              <w:right w:val="single" w:color="auto" w:sz="4" w:space="0"/>
            </w:tcBorders>
            <w:vAlign w:val="center"/>
          </w:tcPr>
          <w:p w14:paraId="0BD142FD">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制造商名称</w:t>
            </w:r>
          </w:p>
        </w:tc>
        <w:tc>
          <w:tcPr>
            <w:tcW w:w="1588" w:type="dxa"/>
            <w:tcBorders>
              <w:left w:val="single" w:color="auto" w:sz="4" w:space="0"/>
            </w:tcBorders>
            <w:vAlign w:val="center"/>
          </w:tcPr>
          <w:p w14:paraId="173E00EC">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生产地</w:t>
            </w:r>
          </w:p>
        </w:tc>
        <w:tc>
          <w:tcPr>
            <w:tcW w:w="1731" w:type="dxa"/>
            <w:vAlign w:val="center"/>
          </w:tcPr>
          <w:p w14:paraId="39C0F2C3">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规格型号</w:t>
            </w:r>
          </w:p>
        </w:tc>
        <w:tc>
          <w:tcPr>
            <w:tcW w:w="1154" w:type="dxa"/>
            <w:vAlign w:val="center"/>
          </w:tcPr>
          <w:p w14:paraId="2E3ABE5A">
            <w:pPr>
              <w:pageBreakBefore w:val="0"/>
              <w:kinsoku/>
              <w:overflowPunct/>
              <w:topLinePunct w:val="0"/>
              <w:bidi w:val="0"/>
              <w:adjustRightInd w:val="0"/>
              <w:snapToGrid w:val="0"/>
              <w:spacing w:line="360" w:lineRule="auto"/>
              <w:jc w:val="center"/>
              <w:rPr>
                <w:rFonts w:ascii="Times New Roman" w:hAnsi="Times New Roman" w:eastAsia="黑体"/>
                <w:color w:val="auto"/>
                <w:sz w:val="24"/>
                <w:highlight w:val="none"/>
              </w:rPr>
            </w:pPr>
            <w:r>
              <w:rPr>
                <w:rFonts w:ascii="Times New Roman" w:hAnsi="Times New Roman" w:eastAsia="黑体"/>
                <w:color w:val="auto"/>
                <w:sz w:val="24"/>
                <w:highlight w:val="none"/>
              </w:rPr>
              <w:t>数量</w:t>
            </w:r>
          </w:p>
        </w:tc>
      </w:tr>
      <w:tr w14:paraId="454337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0270B02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1</w:t>
            </w:r>
          </w:p>
        </w:tc>
        <w:tc>
          <w:tcPr>
            <w:tcW w:w="2226" w:type="dxa"/>
            <w:vAlign w:val="center"/>
          </w:tcPr>
          <w:p w14:paraId="542535E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FE12CD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41C36C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0F3D462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F703BC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38C3B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1BAA7DF">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2</w:t>
            </w:r>
          </w:p>
        </w:tc>
        <w:tc>
          <w:tcPr>
            <w:tcW w:w="2226" w:type="dxa"/>
            <w:vAlign w:val="center"/>
          </w:tcPr>
          <w:p w14:paraId="55BF29A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6523983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D2E934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6BDFDC9F">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44E8E6D6">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DD03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CFF0CD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3</w:t>
            </w:r>
          </w:p>
        </w:tc>
        <w:tc>
          <w:tcPr>
            <w:tcW w:w="2226" w:type="dxa"/>
            <w:vAlign w:val="center"/>
          </w:tcPr>
          <w:p w14:paraId="5B335362">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D6887C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5D00D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C81D75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67EB3F4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EEDC18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48876C6C">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4</w:t>
            </w:r>
          </w:p>
        </w:tc>
        <w:tc>
          <w:tcPr>
            <w:tcW w:w="2226" w:type="dxa"/>
            <w:vAlign w:val="center"/>
          </w:tcPr>
          <w:p w14:paraId="62BC2F3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E4A241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588EB28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559F8AD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30E5EF7">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5064E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5AE81C2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5</w:t>
            </w:r>
          </w:p>
        </w:tc>
        <w:tc>
          <w:tcPr>
            <w:tcW w:w="2226" w:type="dxa"/>
            <w:vAlign w:val="center"/>
          </w:tcPr>
          <w:p w14:paraId="3C1D5993">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4630F7F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2E8DFC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147DF671">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93DFD73">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269111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298BCEFE">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6</w:t>
            </w:r>
          </w:p>
        </w:tc>
        <w:tc>
          <w:tcPr>
            <w:tcW w:w="2226" w:type="dxa"/>
            <w:vAlign w:val="center"/>
          </w:tcPr>
          <w:p w14:paraId="0D503A69">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0506BF75">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2BFB629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242EC4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C3D6A">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1CD033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1D9B24">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7</w:t>
            </w:r>
          </w:p>
        </w:tc>
        <w:tc>
          <w:tcPr>
            <w:tcW w:w="2226" w:type="dxa"/>
            <w:vAlign w:val="center"/>
          </w:tcPr>
          <w:p w14:paraId="3615BB97">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37F0112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68DCA4F0">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4D3C3C8">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5FE069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726321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3F61AD4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8</w:t>
            </w:r>
          </w:p>
        </w:tc>
        <w:tc>
          <w:tcPr>
            <w:tcW w:w="2226" w:type="dxa"/>
            <w:vAlign w:val="center"/>
          </w:tcPr>
          <w:p w14:paraId="6D2628D1">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5639B51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1642AEFC">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7F42EDFB">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32E6D3A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r w14:paraId="3F2F5E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4" w:hRule="atLeast"/>
          <w:jc w:val="center"/>
        </w:trPr>
        <w:tc>
          <w:tcPr>
            <w:tcW w:w="530" w:type="dxa"/>
            <w:vAlign w:val="center"/>
          </w:tcPr>
          <w:p w14:paraId="6A4F9428">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r>
              <w:rPr>
                <w:rFonts w:ascii="Times New Roman" w:hAnsi="Times New Roman"/>
                <w:color w:val="auto"/>
                <w:sz w:val="24"/>
                <w:highlight w:val="none"/>
              </w:rPr>
              <w:t>…</w:t>
            </w:r>
          </w:p>
        </w:tc>
        <w:tc>
          <w:tcPr>
            <w:tcW w:w="2226" w:type="dxa"/>
            <w:vAlign w:val="center"/>
          </w:tcPr>
          <w:p w14:paraId="1DF1CAD0">
            <w:pPr>
              <w:pageBreakBefore w:val="0"/>
              <w:kinsoku/>
              <w:overflowPunct/>
              <w:topLinePunct w:val="0"/>
              <w:bidi w:val="0"/>
              <w:adjustRightInd w:val="0"/>
              <w:snapToGrid w:val="0"/>
              <w:spacing w:line="360" w:lineRule="auto"/>
              <w:ind w:left="-88" w:leftChars="-42"/>
              <w:jc w:val="center"/>
              <w:rPr>
                <w:rFonts w:ascii="Times New Roman" w:hAnsi="Times New Roman"/>
                <w:color w:val="auto"/>
                <w:sz w:val="24"/>
                <w:highlight w:val="none"/>
              </w:rPr>
            </w:pPr>
          </w:p>
        </w:tc>
        <w:tc>
          <w:tcPr>
            <w:tcW w:w="1587" w:type="dxa"/>
            <w:tcBorders>
              <w:right w:val="single" w:color="auto" w:sz="4" w:space="0"/>
            </w:tcBorders>
            <w:vAlign w:val="center"/>
          </w:tcPr>
          <w:p w14:paraId="281275FD">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588" w:type="dxa"/>
            <w:tcBorders>
              <w:left w:val="single" w:color="auto" w:sz="4" w:space="0"/>
            </w:tcBorders>
            <w:vAlign w:val="center"/>
          </w:tcPr>
          <w:p w14:paraId="0841601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731" w:type="dxa"/>
            <w:vAlign w:val="center"/>
          </w:tcPr>
          <w:p w14:paraId="28A4D60E">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c>
          <w:tcPr>
            <w:tcW w:w="1154" w:type="dxa"/>
            <w:vAlign w:val="center"/>
          </w:tcPr>
          <w:p w14:paraId="2EFA1D02">
            <w:pPr>
              <w:pageBreakBefore w:val="0"/>
              <w:kinsoku/>
              <w:overflowPunct/>
              <w:topLinePunct w:val="0"/>
              <w:bidi w:val="0"/>
              <w:adjustRightInd w:val="0"/>
              <w:snapToGrid w:val="0"/>
              <w:spacing w:line="360" w:lineRule="auto"/>
              <w:jc w:val="center"/>
              <w:rPr>
                <w:rFonts w:ascii="Times New Roman" w:hAnsi="Times New Roman"/>
                <w:color w:val="auto"/>
                <w:sz w:val="24"/>
                <w:highlight w:val="none"/>
              </w:rPr>
            </w:pPr>
          </w:p>
        </w:tc>
      </w:tr>
    </w:tbl>
    <w:p w14:paraId="6A759F27">
      <w:pPr>
        <w:pageBreakBefore w:val="0"/>
        <w:kinsoku/>
        <w:overflowPunct/>
        <w:topLinePunct w:val="0"/>
        <w:bidi w:val="0"/>
        <w:spacing w:line="360" w:lineRule="auto"/>
        <w:ind w:firstLine="480" w:firstLineChars="200"/>
        <w:rPr>
          <w:rFonts w:ascii="Times New Roman" w:hAnsi="Times New Roman"/>
          <w:color w:val="auto"/>
          <w:highlight w:val="none"/>
        </w:rPr>
      </w:pPr>
      <w:r>
        <w:rPr>
          <w:rFonts w:ascii="Times New Roman" w:hAnsi="Times New Roman"/>
          <w:color w:val="auto"/>
          <w:sz w:val="24"/>
          <w:highlight w:val="none"/>
        </w:rPr>
        <w:t>说明：提供详细的货物和服务范围，包括货物和服务类别及制造（开发）商、备品备件等。</w:t>
      </w:r>
    </w:p>
    <w:p w14:paraId="36A84359">
      <w:pPr>
        <w:pageBreakBefore w:val="0"/>
        <w:kinsoku/>
        <w:overflowPunct/>
        <w:topLinePunct w:val="0"/>
        <w:bidi w:val="0"/>
        <w:spacing w:line="360" w:lineRule="auto"/>
        <w:rPr>
          <w:rFonts w:ascii="Times New Roman" w:hAnsi="Times New Roman" w:eastAsia="仿宋_GB2312"/>
          <w:color w:val="auto"/>
          <w:sz w:val="24"/>
          <w:highlight w:val="none"/>
        </w:rPr>
      </w:pPr>
    </w:p>
    <w:p w14:paraId="304489E5">
      <w:pPr>
        <w:pageBreakBefore w:val="0"/>
        <w:kinsoku/>
        <w:overflowPunct/>
        <w:topLinePunct w:val="0"/>
        <w:bidi w:val="0"/>
        <w:spacing w:line="360" w:lineRule="auto"/>
        <w:rPr>
          <w:rFonts w:ascii="Times New Roman" w:hAnsi="Times New Roman" w:eastAsia="仿宋_GB2312"/>
          <w:color w:val="auto"/>
          <w:sz w:val="24"/>
          <w:highlight w:val="none"/>
        </w:rPr>
      </w:pPr>
    </w:p>
    <w:p w14:paraId="7BB444E2">
      <w:pPr>
        <w:pStyle w:val="19"/>
        <w:pageBreakBefore w:val="0"/>
        <w:kinsoku/>
        <w:overflowPunct/>
        <w:topLinePunct w:val="0"/>
        <w:bidi w:val="0"/>
        <w:spacing w:line="360" w:lineRule="auto"/>
        <w:rPr>
          <w:rFonts w:ascii="Times New Roman" w:hAnsi="Times New Roman" w:cs="Times New Roman"/>
          <w:color w:val="auto"/>
          <w:sz w:val="24"/>
          <w:szCs w:val="24"/>
          <w:highlight w:val="none"/>
          <w:u w:val="single"/>
        </w:rPr>
      </w:pPr>
      <w:r>
        <w:rPr>
          <w:rFonts w:ascii="Times New Roman" w:hAnsi="Times New Roman" w:cs="Times New Roman"/>
          <w:color w:val="auto"/>
          <w:sz w:val="24"/>
          <w:szCs w:val="24"/>
          <w:highlight w:val="none"/>
        </w:rPr>
        <w:t>供应商名称（公章）：</w:t>
      </w:r>
    </w:p>
    <w:p w14:paraId="742C734A">
      <w:pPr>
        <w:pStyle w:val="19"/>
        <w:pageBreakBefore w:val="0"/>
        <w:kinsoku/>
        <w:overflowPunct/>
        <w:topLinePunct w:val="0"/>
        <w:bidi w:val="0"/>
        <w:spacing w:line="360" w:lineRule="auto"/>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时间：</w:t>
      </w:r>
    </w:p>
    <w:p w14:paraId="402260FB">
      <w:pPr>
        <w:pageBreakBefore w:val="0"/>
        <w:widowControl/>
        <w:kinsoku/>
        <w:overflowPunct/>
        <w:topLinePunct w:val="0"/>
        <w:bidi w:val="0"/>
        <w:spacing w:line="360" w:lineRule="auto"/>
        <w:jc w:val="left"/>
        <w:rPr>
          <w:rFonts w:ascii="Times New Roman" w:hAnsi="Times New Roman"/>
          <w:color w:val="auto"/>
          <w:sz w:val="32"/>
          <w:szCs w:val="32"/>
          <w:highlight w:val="none"/>
        </w:rPr>
      </w:pPr>
    </w:p>
    <w:p w14:paraId="52F4BA2D">
      <w:pPr>
        <w:pageBreakBefore w:val="0"/>
        <w:kinsoku/>
        <w:overflowPunct/>
        <w:topLinePunct w:val="0"/>
        <w:bidi w:val="0"/>
        <w:adjustRightInd w:val="0"/>
        <w:snapToGrid w:val="0"/>
        <w:spacing w:line="360" w:lineRule="auto"/>
        <w:outlineLvl w:val="0"/>
        <w:rPr>
          <w:rFonts w:ascii="楷体_GB2312" w:hAnsi="Times New Roman" w:eastAsia="楷体_GB2312"/>
          <w:color w:val="auto"/>
          <w:sz w:val="32"/>
          <w:szCs w:val="32"/>
          <w:highlight w:val="none"/>
        </w:rPr>
      </w:pPr>
      <w:r>
        <w:rPr>
          <w:rFonts w:ascii="Times New Roman" w:hAnsi="Times New Roman"/>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四</w:t>
      </w:r>
    </w:p>
    <w:p w14:paraId="30ADE972">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资格性符合性检查对照表</w:t>
      </w:r>
    </w:p>
    <w:p w14:paraId="6FE94668">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01B328DC">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highlight w:val="none"/>
        </w:rPr>
        <w:t>项目编号（包号）</w:t>
      </w:r>
      <w:r>
        <w:rPr>
          <w:rFonts w:ascii="Times New Roman" w:hAnsi="Times New Roman"/>
          <w:color w:val="auto"/>
          <w:sz w:val="24"/>
          <w:szCs w:val="24"/>
          <w:highlight w:val="none"/>
        </w:rPr>
        <w:t>：</w:t>
      </w:r>
    </w:p>
    <w:p w14:paraId="2A5B3C8B">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9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1"/>
        <w:gridCol w:w="4316"/>
        <w:gridCol w:w="1357"/>
        <w:gridCol w:w="1177"/>
        <w:gridCol w:w="1467"/>
      </w:tblGrid>
      <w:tr w14:paraId="54730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434" w:type="pct"/>
            <w:noWrap w:val="0"/>
            <w:vAlign w:val="center"/>
          </w:tcPr>
          <w:p w14:paraId="2A2BABC8">
            <w:pPr>
              <w:pageBreakBefore w:val="0"/>
              <w:kinsoku/>
              <w:overflowPunct/>
              <w:topLinePunct w:val="0"/>
              <w:bidi w:val="0"/>
              <w:spacing w:line="360" w:lineRule="auto"/>
              <w:jc w:val="center"/>
              <w:rPr>
                <w:rFonts w:eastAsia="黑体"/>
                <w:color w:val="auto"/>
                <w:kern w:val="0"/>
                <w:sz w:val="24"/>
                <w:szCs w:val="24"/>
                <w:highlight w:val="none"/>
              </w:rPr>
            </w:pPr>
            <w:r>
              <w:rPr>
                <w:rFonts w:hint="eastAsia" w:eastAsia="黑体"/>
                <w:color w:val="auto"/>
                <w:kern w:val="0"/>
                <w:sz w:val="24"/>
                <w:szCs w:val="24"/>
                <w:highlight w:val="none"/>
              </w:rPr>
              <w:t>序</w:t>
            </w:r>
            <w:r>
              <w:rPr>
                <w:rFonts w:eastAsia="黑体"/>
                <w:color w:val="auto"/>
                <w:kern w:val="0"/>
                <w:sz w:val="24"/>
                <w:szCs w:val="24"/>
                <w:highlight w:val="none"/>
              </w:rPr>
              <w:t>号</w:t>
            </w:r>
          </w:p>
        </w:tc>
        <w:tc>
          <w:tcPr>
            <w:tcW w:w="2369" w:type="pct"/>
            <w:noWrap w:val="0"/>
            <w:vAlign w:val="center"/>
          </w:tcPr>
          <w:p w14:paraId="5CF21868">
            <w:pPr>
              <w:pageBreakBefore w:val="0"/>
              <w:kinsoku/>
              <w:overflowPunct/>
              <w:topLinePunct w:val="0"/>
              <w:bidi w:val="0"/>
              <w:spacing w:line="360" w:lineRule="auto"/>
              <w:jc w:val="center"/>
              <w:rPr>
                <w:rFonts w:eastAsia="黑体"/>
                <w:color w:val="auto"/>
                <w:kern w:val="0"/>
                <w:sz w:val="24"/>
                <w:szCs w:val="24"/>
                <w:highlight w:val="none"/>
              </w:rPr>
            </w:pPr>
            <w:r>
              <w:rPr>
                <w:rFonts w:eastAsia="黑体"/>
                <w:color w:val="auto"/>
                <w:kern w:val="0"/>
                <w:sz w:val="24"/>
                <w:szCs w:val="24"/>
                <w:highlight w:val="none"/>
              </w:rPr>
              <w:t>资格性符合性检查内容</w:t>
            </w:r>
          </w:p>
        </w:tc>
        <w:tc>
          <w:tcPr>
            <w:tcW w:w="745" w:type="pct"/>
            <w:noWrap w:val="0"/>
            <w:vAlign w:val="center"/>
          </w:tcPr>
          <w:p w14:paraId="7593001D">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响应文件响应情况</w:t>
            </w:r>
          </w:p>
        </w:tc>
        <w:tc>
          <w:tcPr>
            <w:tcW w:w="646" w:type="pct"/>
            <w:noWrap w:val="0"/>
            <w:vAlign w:val="center"/>
          </w:tcPr>
          <w:p w14:paraId="38B2BAB8">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偏离情况说明</w:t>
            </w:r>
          </w:p>
        </w:tc>
        <w:tc>
          <w:tcPr>
            <w:tcW w:w="805" w:type="pct"/>
            <w:noWrap w:val="0"/>
            <w:vAlign w:val="center"/>
          </w:tcPr>
          <w:p w14:paraId="11DF4894">
            <w:pPr>
              <w:pageBreakBefore w:val="0"/>
              <w:kinsoku/>
              <w:overflowPunct/>
              <w:topLinePunct w:val="0"/>
              <w:bidi w:val="0"/>
              <w:spacing w:line="360" w:lineRule="auto"/>
              <w:ind w:left="15" w:leftChars="-51" w:hanging="122" w:hangingChars="51"/>
              <w:jc w:val="center"/>
              <w:rPr>
                <w:rFonts w:eastAsia="黑体"/>
                <w:color w:val="auto"/>
                <w:kern w:val="0"/>
                <w:sz w:val="24"/>
                <w:szCs w:val="24"/>
                <w:highlight w:val="none"/>
              </w:rPr>
            </w:pPr>
            <w:r>
              <w:rPr>
                <w:rFonts w:eastAsia="黑体"/>
                <w:color w:val="auto"/>
                <w:kern w:val="0"/>
                <w:sz w:val="24"/>
                <w:szCs w:val="24"/>
                <w:highlight w:val="none"/>
              </w:rPr>
              <w:t>备注</w:t>
            </w:r>
          </w:p>
        </w:tc>
      </w:tr>
      <w:tr w14:paraId="30BD3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B66110E">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1</w:t>
            </w:r>
          </w:p>
        </w:tc>
        <w:tc>
          <w:tcPr>
            <w:tcW w:w="2369" w:type="pct"/>
            <w:noWrap w:val="0"/>
            <w:vAlign w:val="top"/>
          </w:tcPr>
          <w:p w14:paraId="0E46DB28">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25AB6086">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4152473A">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7C2DC0A7">
            <w:pPr>
              <w:pageBreakBefore w:val="0"/>
              <w:kinsoku/>
              <w:overflowPunct/>
              <w:topLinePunct w:val="0"/>
              <w:bidi w:val="0"/>
              <w:spacing w:line="360" w:lineRule="auto"/>
              <w:ind w:left="-5" w:leftChars="-50" w:hanging="100" w:hangingChars="50"/>
              <w:jc w:val="center"/>
              <w:rPr>
                <w:color w:val="auto"/>
                <w:kern w:val="0"/>
                <w:sz w:val="20"/>
                <w:szCs w:val="21"/>
                <w:highlight w:val="none"/>
              </w:rPr>
            </w:pPr>
          </w:p>
        </w:tc>
      </w:tr>
      <w:tr w14:paraId="53536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132DB16">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2</w:t>
            </w:r>
          </w:p>
        </w:tc>
        <w:tc>
          <w:tcPr>
            <w:tcW w:w="2369" w:type="pct"/>
            <w:noWrap w:val="0"/>
            <w:vAlign w:val="top"/>
          </w:tcPr>
          <w:p w14:paraId="6CFF53EE">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7D9F29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7A105D00">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0A71E3F1">
            <w:pPr>
              <w:pageBreakBefore w:val="0"/>
              <w:kinsoku/>
              <w:overflowPunct/>
              <w:topLinePunct w:val="0"/>
              <w:bidi w:val="0"/>
              <w:spacing w:line="360" w:lineRule="auto"/>
              <w:jc w:val="center"/>
              <w:rPr>
                <w:color w:val="auto"/>
                <w:kern w:val="0"/>
                <w:sz w:val="20"/>
                <w:szCs w:val="21"/>
                <w:highlight w:val="none"/>
              </w:rPr>
            </w:pPr>
          </w:p>
        </w:tc>
      </w:tr>
      <w:tr w14:paraId="4DCDC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71A51F2">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3</w:t>
            </w:r>
          </w:p>
        </w:tc>
        <w:tc>
          <w:tcPr>
            <w:tcW w:w="2369" w:type="pct"/>
            <w:noWrap w:val="0"/>
            <w:vAlign w:val="top"/>
          </w:tcPr>
          <w:p w14:paraId="5EC4942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A699DC6">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25D77909">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6C66BF13">
            <w:pPr>
              <w:pageBreakBefore w:val="0"/>
              <w:kinsoku/>
              <w:overflowPunct/>
              <w:topLinePunct w:val="0"/>
              <w:bidi w:val="0"/>
              <w:spacing w:line="360" w:lineRule="auto"/>
              <w:jc w:val="center"/>
              <w:rPr>
                <w:color w:val="auto"/>
                <w:kern w:val="0"/>
                <w:sz w:val="20"/>
                <w:szCs w:val="21"/>
                <w:highlight w:val="none"/>
              </w:rPr>
            </w:pPr>
          </w:p>
        </w:tc>
      </w:tr>
      <w:tr w14:paraId="483F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055051B5">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4</w:t>
            </w:r>
          </w:p>
        </w:tc>
        <w:tc>
          <w:tcPr>
            <w:tcW w:w="2369" w:type="pct"/>
            <w:noWrap w:val="0"/>
            <w:vAlign w:val="top"/>
          </w:tcPr>
          <w:p w14:paraId="4656FF00">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47538C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303E797B">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2F188FED">
            <w:pPr>
              <w:pageBreakBefore w:val="0"/>
              <w:kinsoku/>
              <w:overflowPunct/>
              <w:topLinePunct w:val="0"/>
              <w:bidi w:val="0"/>
              <w:spacing w:line="360" w:lineRule="auto"/>
              <w:jc w:val="center"/>
              <w:rPr>
                <w:color w:val="auto"/>
                <w:kern w:val="0"/>
                <w:sz w:val="20"/>
                <w:szCs w:val="21"/>
                <w:highlight w:val="none"/>
              </w:rPr>
            </w:pPr>
          </w:p>
        </w:tc>
      </w:tr>
      <w:tr w14:paraId="4265F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A273E4A">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5</w:t>
            </w:r>
          </w:p>
        </w:tc>
        <w:tc>
          <w:tcPr>
            <w:tcW w:w="2369" w:type="pct"/>
            <w:noWrap w:val="0"/>
            <w:vAlign w:val="top"/>
          </w:tcPr>
          <w:p w14:paraId="36A04B40">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217A760F">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13422DA1">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0138D640">
            <w:pPr>
              <w:pageBreakBefore w:val="0"/>
              <w:kinsoku/>
              <w:overflowPunct/>
              <w:topLinePunct w:val="0"/>
              <w:bidi w:val="0"/>
              <w:spacing w:line="360" w:lineRule="auto"/>
              <w:jc w:val="center"/>
              <w:rPr>
                <w:color w:val="auto"/>
                <w:kern w:val="0"/>
                <w:sz w:val="20"/>
                <w:szCs w:val="21"/>
                <w:highlight w:val="none"/>
              </w:rPr>
            </w:pPr>
          </w:p>
        </w:tc>
      </w:tr>
      <w:tr w14:paraId="0060B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745CBE0">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6</w:t>
            </w:r>
          </w:p>
        </w:tc>
        <w:tc>
          <w:tcPr>
            <w:tcW w:w="2369" w:type="pct"/>
            <w:noWrap w:val="0"/>
            <w:vAlign w:val="top"/>
          </w:tcPr>
          <w:p w14:paraId="3D8921A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56C25EF8">
            <w:pPr>
              <w:pageBreakBefore w:val="0"/>
              <w:kinsoku/>
              <w:overflowPunct/>
              <w:topLinePunct w:val="0"/>
              <w:bidi w:val="0"/>
              <w:spacing w:line="360" w:lineRule="auto"/>
              <w:jc w:val="left"/>
              <w:rPr>
                <w:color w:val="auto"/>
                <w:kern w:val="0"/>
                <w:sz w:val="20"/>
                <w:szCs w:val="21"/>
                <w:highlight w:val="none"/>
              </w:rPr>
            </w:pPr>
          </w:p>
        </w:tc>
        <w:tc>
          <w:tcPr>
            <w:tcW w:w="646" w:type="pct"/>
            <w:noWrap w:val="0"/>
            <w:vAlign w:val="top"/>
          </w:tcPr>
          <w:p w14:paraId="68FD66BC">
            <w:pPr>
              <w:pageBreakBefore w:val="0"/>
              <w:kinsoku/>
              <w:overflowPunct/>
              <w:topLinePunct w:val="0"/>
              <w:bidi w:val="0"/>
              <w:spacing w:line="360" w:lineRule="auto"/>
              <w:jc w:val="left"/>
              <w:rPr>
                <w:color w:val="auto"/>
                <w:kern w:val="0"/>
                <w:sz w:val="20"/>
                <w:szCs w:val="21"/>
                <w:highlight w:val="none"/>
              </w:rPr>
            </w:pPr>
          </w:p>
        </w:tc>
        <w:tc>
          <w:tcPr>
            <w:tcW w:w="805" w:type="pct"/>
            <w:noWrap w:val="0"/>
            <w:vAlign w:val="center"/>
          </w:tcPr>
          <w:p w14:paraId="21278019">
            <w:pPr>
              <w:pageBreakBefore w:val="0"/>
              <w:kinsoku/>
              <w:overflowPunct/>
              <w:topLinePunct w:val="0"/>
              <w:bidi w:val="0"/>
              <w:spacing w:line="360" w:lineRule="auto"/>
              <w:jc w:val="center"/>
              <w:rPr>
                <w:color w:val="auto"/>
                <w:kern w:val="0"/>
                <w:sz w:val="20"/>
                <w:szCs w:val="21"/>
                <w:highlight w:val="none"/>
              </w:rPr>
            </w:pPr>
          </w:p>
        </w:tc>
      </w:tr>
      <w:tr w14:paraId="1E48E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4235D1B8">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7</w:t>
            </w:r>
          </w:p>
        </w:tc>
        <w:tc>
          <w:tcPr>
            <w:tcW w:w="2369" w:type="pct"/>
            <w:noWrap w:val="0"/>
            <w:vAlign w:val="top"/>
          </w:tcPr>
          <w:p w14:paraId="78BA6D53">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4412EDBE">
            <w:pPr>
              <w:pageBreakBefore w:val="0"/>
              <w:kinsoku/>
              <w:overflowPunct/>
              <w:topLinePunct w:val="0"/>
              <w:bidi w:val="0"/>
              <w:spacing w:line="360" w:lineRule="auto"/>
              <w:jc w:val="left"/>
              <w:rPr>
                <w:color w:val="auto"/>
                <w:kern w:val="0"/>
                <w:sz w:val="20"/>
                <w:szCs w:val="21"/>
                <w:highlight w:val="none"/>
              </w:rPr>
            </w:pPr>
          </w:p>
        </w:tc>
        <w:tc>
          <w:tcPr>
            <w:tcW w:w="646" w:type="pct"/>
            <w:noWrap w:val="0"/>
            <w:vAlign w:val="top"/>
          </w:tcPr>
          <w:p w14:paraId="1353F0D7">
            <w:pPr>
              <w:pageBreakBefore w:val="0"/>
              <w:kinsoku/>
              <w:overflowPunct/>
              <w:topLinePunct w:val="0"/>
              <w:bidi w:val="0"/>
              <w:spacing w:line="360" w:lineRule="auto"/>
              <w:jc w:val="left"/>
              <w:rPr>
                <w:color w:val="auto"/>
                <w:kern w:val="0"/>
                <w:sz w:val="20"/>
                <w:szCs w:val="21"/>
                <w:highlight w:val="none"/>
              </w:rPr>
            </w:pPr>
          </w:p>
        </w:tc>
        <w:tc>
          <w:tcPr>
            <w:tcW w:w="805" w:type="pct"/>
            <w:noWrap w:val="0"/>
            <w:vAlign w:val="center"/>
          </w:tcPr>
          <w:p w14:paraId="1A495EFD">
            <w:pPr>
              <w:pageBreakBefore w:val="0"/>
              <w:kinsoku/>
              <w:overflowPunct/>
              <w:topLinePunct w:val="0"/>
              <w:bidi w:val="0"/>
              <w:spacing w:line="360" w:lineRule="auto"/>
              <w:jc w:val="center"/>
              <w:rPr>
                <w:color w:val="auto"/>
                <w:kern w:val="0"/>
                <w:sz w:val="20"/>
                <w:szCs w:val="21"/>
                <w:highlight w:val="none"/>
              </w:rPr>
            </w:pPr>
          </w:p>
        </w:tc>
      </w:tr>
      <w:tr w14:paraId="0C727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221213AF">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8</w:t>
            </w:r>
          </w:p>
        </w:tc>
        <w:tc>
          <w:tcPr>
            <w:tcW w:w="2369" w:type="pct"/>
            <w:noWrap w:val="0"/>
            <w:vAlign w:val="top"/>
          </w:tcPr>
          <w:p w14:paraId="710AACC6">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225E149">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2A2030D1">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1A6E123E">
            <w:pPr>
              <w:pageBreakBefore w:val="0"/>
              <w:kinsoku/>
              <w:overflowPunct/>
              <w:topLinePunct w:val="0"/>
              <w:bidi w:val="0"/>
              <w:spacing w:line="360" w:lineRule="auto"/>
              <w:jc w:val="center"/>
              <w:rPr>
                <w:color w:val="auto"/>
                <w:kern w:val="0"/>
                <w:sz w:val="20"/>
                <w:szCs w:val="21"/>
                <w:highlight w:val="none"/>
              </w:rPr>
            </w:pPr>
          </w:p>
        </w:tc>
      </w:tr>
      <w:tr w14:paraId="15E2C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5C9C1B50">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9</w:t>
            </w:r>
          </w:p>
        </w:tc>
        <w:tc>
          <w:tcPr>
            <w:tcW w:w="2369" w:type="pct"/>
            <w:noWrap w:val="0"/>
            <w:vAlign w:val="top"/>
          </w:tcPr>
          <w:p w14:paraId="405FE7A1">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30763D35">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5506AE8F">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37C41644">
            <w:pPr>
              <w:pageBreakBefore w:val="0"/>
              <w:kinsoku/>
              <w:overflowPunct/>
              <w:topLinePunct w:val="0"/>
              <w:bidi w:val="0"/>
              <w:spacing w:line="360" w:lineRule="auto"/>
              <w:jc w:val="center"/>
              <w:rPr>
                <w:color w:val="auto"/>
                <w:kern w:val="0"/>
                <w:sz w:val="20"/>
                <w:szCs w:val="21"/>
                <w:highlight w:val="none"/>
              </w:rPr>
            </w:pPr>
          </w:p>
        </w:tc>
      </w:tr>
      <w:tr w14:paraId="7352C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4" w:type="pct"/>
            <w:noWrap w:val="0"/>
            <w:vAlign w:val="center"/>
          </w:tcPr>
          <w:p w14:paraId="159474F3">
            <w:pPr>
              <w:pageBreakBefore w:val="0"/>
              <w:kinsoku/>
              <w:overflowPunct/>
              <w:topLinePunct w:val="0"/>
              <w:bidi w:val="0"/>
              <w:spacing w:line="360" w:lineRule="auto"/>
              <w:jc w:val="center"/>
              <w:rPr>
                <w:color w:val="auto"/>
                <w:kern w:val="0"/>
                <w:sz w:val="20"/>
                <w:szCs w:val="21"/>
                <w:highlight w:val="none"/>
              </w:rPr>
            </w:pPr>
            <w:r>
              <w:rPr>
                <w:color w:val="auto"/>
                <w:kern w:val="0"/>
                <w:sz w:val="20"/>
                <w:szCs w:val="21"/>
                <w:highlight w:val="none"/>
              </w:rPr>
              <w:t>…</w:t>
            </w:r>
          </w:p>
        </w:tc>
        <w:tc>
          <w:tcPr>
            <w:tcW w:w="2369" w:type="pct"/>
            <w:noWrap w:val="0"/>
            <w:vAlign w:val="top"/>
          </w:tcPr>
          <w:p w14:paraId="5AF41F0F">
            <w:pPr>
              <w:pageBreakBefore w:val="0"/>
              <w:kinsoku/>
              <w:overflowPunct/>
              <w:topLinePunct w:val="0"/>
              <w:bidi w:val="0"/>
              <w:spacing w:line="360" w:lineRule="auto"/>
              <w:rPr>
                <w:color w:val="auto"/>
                <w:kern w:val="0"/>
                <w:sz w:val="20"/>
                <w:szCs w:val="20"/>
                <w:highlight w:val="none"/>
              </w:rPr>
            </w:pPr>
          </w:p>
        </w:tc>
        <w:tc>
          <w:tcPr>
            <w:tcW w:w="745" w:type="pct"/>
            <w:noWrap w:val="0"/>
            <w:vAlign w:val="top"/>
          </w:tcPr>
          <w:p w14:paraId="150BA603">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1ED8321F">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49CB0D19">
            <w:pPr>
              <w:pageBreakBefore w:val="0"/>
              <w:kinsoku/>
              <w:overflowPunct/>
              <w:topLinePunct w:val="0"/>
              <w:bidi w:val="0"/>
              <w:spacing w:line="360" w:lineRule="auto"/>
              <w:jc w:val="center"/>
              <w:rPr>
                <w:color w:val="auto"/>
                <w:kern w:val="0"/>
                <w:sz w:val="20"/>
                <w:szCs w:val="21"/>
                <w:highlight w:val="none"/>
              </w:rPr>
            </w:pPr>
          </w:p>
        </w:tc>
      </w:tr>
      <w:tr w14:paraId="67294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803" w:type="pct"/>
            <w:gridSpan w:val="2"/>
            <w:noWrap w:val="0"/>
            <w:vAlign w:val="center"/>
          </w:tcPr>
          <w:p w14:paraId="7557571C">
            <w:pPr>
              <w:pageBreakBefore w:val="0"/>
              <w:kinsoku/>
              <w:overflowPunct/>
              <w:topLinePunct w:val="0"/>
              <w:bidi w:val="0"/>
              <w:spacing w:line="360" w:lineRule="auto"/>
              <w:rPr>
                <w:color w:val="auto"/>
                <w:kern w:val="0"/>
                <w:sz w:val="24"/>
                <w:szCs w:val="24"/>
                <w:highlight w:val="none"/>
              </w:rPr>
            </w:pPr>
            <w:r>
              <w:rPr>
                <w:color w:val="auto"/>
                <w:kern w:val="0"/>
                <w:sz w:val="24"/>
                <w:szCs w:val="24"/>
                <w:highlight w:val="none"/>
              </w:rPr>
              <w:t>自评结论</w:t>
            </w:r>
          </w:p>
        </w:tc>
        <w:tc>
          <w:tcPr>
            <w:tcW w:w="745" w:type="pct"/>
            <w:noWrap w:val="0"/>
            <w:vAlign w:val="top"/>
          </w:tcPr>
          <w:p w14:paraId="5C9BBB1E">
            <w:pPr>
              <w:pageBreakBefore w:val="0"/>
              <w:kinsoku/>
              <w:overflowPunct/>
              <w:topLinePunct w:val="0"/>
              <w:bidi w:val="0"/>
              <w:spacing w:line="360" w:lineRule="auto"/>
              <w:jc w:val="center"/>
              <w:rPr>
                <w:color w:val="auto"/>
                <w:kern w:val="0"/>
                <w:sz w:val="20"/>
                <w:szCs w:val="21"/>
                <w:highlight w:val="none"/>
              </w:rPr>
            </w:pPr>
          </w:p>
        </w:tc>
        <w:tc>
          <w:tcPr>
            <w:tcW w:w="646" w:type="pct"/>
            <w:noWrap w:val="0"/>
            <w:vAlign w:val="top"/>
          </w:tcPr>
          <w:p w14:paraId="7367434D">
            <w:pPr>
              <w:pageBreakBefore w:val="0"/>
              <w:kinsoku/>
              <w:overflowPunct/>
              <w:topLinePunct w:val="0"/>
              <w:bidi w:val="0"/>
              <w:spacing w:line="360" w:lineRule="auto"/>
              <w:jc w:val="center"/>
              <w:rPr>
                <w:color w:val="auto"/>
                <w:kern w:val="0"/>
                <w:sz w:val="20"/>
                <w:szCs w:val="21"/>
                <w:highlight w:val="none"/>
              </w:rPr>
            </w:pPr>
          </w:p>
        </w:tc>
        <w:tc>
          <w:tcPr>
            <w:tcW w:w="805" w:type="pct"/>
            <w:noWrap w:val="0"/>
            <w:vAlign w:val="center"/>
          </w:tcPr>
          <w:p w14:paraId="67F11502">
            <w:pPr>
              <w:pageBreakBefore w:val="0"/>
              <w:kinsoku/>
              <w:overflowPunct/>
              <w:topLinePunct w:val="0"/>
              <w:bidi w:val="0"/>
              <w:spacing w:line="360" w:lineRule="auto"/>
              <w:jc w:val="center"/>
              <w:rPr>
                <w:color w:val="auto"/>
                <w:kern w:val="0"/>
                <w:sz w:val="20"/>
                <w:szCs w:val="21"/>
                <w:highlight w:val="none"/>
              </w:rPr>
            </w:pPr>
          </w:p>
        </w:tc>
      </w:tr>
    </w:tbl>
    <w:p w14:paraId="72F60C2A">
      <w:pPr>
        <w:pageBreakBefore w:val="0"/>
        <w:kinsoku/>
        <w:overflowPunct/>
        <w:topLinePunct w:val="0"/>
        <w:bidi w:val="0"/>
        <w:spacing w:line="360" w:lineRule="auto"/>
        <w:rPr>
          <w:rFonts w:ascii="Times New Roman" w:hAnsi="Times New Roman"/>
          <w:color w:val="auto"/>
          <w:szCs w:val="21"/>
          <w:highlight w:val="none"/>
        </w:rPr>
      </w:pPr>
      <w:r>
        <w:rPr>
          <w:rFonts w:ascii="Times New Roman" w:hAnsi="Times New Roman"/>
          <w:color w:val="auto"/>
          <w:szCs w:val="21"/>
          <w:highlight w:val="none"/>
        </w:rPr>
        <w:t>说明：</w:t>
      </w:r>
    </w:p>
    <w:p w14:paraId="37D84643">
      <w:pPr>
        <w:pageBreakBefore w:val="0"/>
        <w:kinsoku/>
        <w:overflowPunct/>
        <w:topLinePunct w:val="0"/>
        <w:bidi w:val="0"/>
        <w:spacing w:line="360" w:lineRule="auto"/>
        <w:ind w:firstLine="420" w:firstLineChars="200"/>
        <w:rPr>
          <w:rFonts w:ascii="Times New Roman" w:hAnsi="Times New Roman"/>
          <w:color w:val="auto"/>
          <w:szCs w:val="21"/>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68E3E86C">
      <w:pPr>
        <w:pageBreakBefore w:val="0"/>
        <w:kinsoku/>
        <w:overflowPunct/>
        <w:topLinePunct w:val="0"/>
        <w:bidi w:val="0"/>
        <w:spacing w:line="360" w:lineRule="auto"/>
        <w:rPr>
          <w:rFonts w:ascii="Times New Roman" w:hAnsi="Times New Roman"/>
          <w:color w:val="auto"/>
          <w:sz w:val="24"/>
          <w:szCs w:val="24"/>
          <w:highlight w:val="none"/>
        </w:rPr>
      </w:pPr>
    </w:p>
    <w:p w14:paraId="24216DE1">
      <w:pPr>
        <w:pageBreakBefore w:val="0"/>
        <w:kinsoku/>
        <w:overflowPunct/>
        <w:topLinePunct w:val="0"/>
        <w:bidi w:val="0"/>
        <w:spacing w:line="360" w:lineRule="auto"/>
        <w:rPr>
          <w:rFonts w:ascii="Times New Roman" w:hAnsi="Times New Roman"/>
          <w:color w:val="auto"/>
          <w:sz w:val="24"/>
          <w:szCs w:val="24"/>
          <w:highlight w:val="none"/>
        </w:rPr>
      </w:pPr>
    </w:p>
    <w:p w14:paraId="19C3BF60">
      <w:pPr>
        <w:pageBreakBefore w:val="0"/>
        <w:kinsoku/>
        <w:overflowPunct/>
        <w:topLinePunct w:val="0"/>
        <w:bidi w:val="0"/>
        <w:spacing w:line="360" w:lineRule="auto"/>
        <w:rPr>
          <w:rFonts w:ascii="Times New Roman" w:hAnsi="Times New Roman"/>
          <w:color w:val="auto"/>
          <w:sz w:val="24"/>
          <w:szCs w:val="24"/>
          <w:highlight w:val="none"/>
        </w:rPr>
      </w:pPr>
    </w:p>
    <w:p w14:paraId="048FD62D">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6F7ABBFA">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4B3C64E8">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五</w:t>
      </w:r>
    </w:p>
    <w:p w14:paraId="1945C36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技术</w:t>
      </w:r>
      <w:r>
        <w:rPr>
          <w:rFonts w:hint="eastAsia" w:ascii="Times New Roman" w:hAnsi="Times New Roman" w:eastAsia="方正小标宋简体"/>
          <w:color w:val="auto"/>
          <w:sz w:val="40"/>
          <w:szCs w:val="40"/>
          <w:highlight w:val="none"/>
        </w:rPr>
        <w:t>、服务</w:t>
      </w:r>
      <w:r>
        <w:rPr>
          <w:rFonts w:ascii="Times New Roman" w:hAnsi="Times New Roman" w:eastAsia="方正小标宋简体"/>
          <w:color w:val="auto"/>
          <w:sz w:val="40"/>
          <w:szCs w:val="40"/>
          <w:highlight w:val="none"/>
        </w:rPr>
        <w:t>响应、偏离情况说明表</w:t>
      </w:r>
    </w:p>
    <w:p w14:paraId="785E1F96">
      <w:pPr>
        <w:pageBreakBefore w:val="0"/>
        <w:kinsoku/>
        <w:overflowPunct/>
        <w:topLinePunct w:val="0"/>
        <w:bidi w:val="0"/>
        <w:spacing w:line="360" w:lineRule="auto"/>
        <w:jc w:val="center"/>
        <w:rPr>
          <w:rFonts w:ascii="Times New Roman" w:hAnsi="Times New Roman" w:eastAsia="方正小标宋简体"/>
          <w:color w:val="auto"/>
          <w:sz w:val="40"/>
          <w:szCs w:val="40"/>
          <w:highlight w:val="none"/>
        </w:rPr>
      </w:pPr>
    </w:p>
    <w:p w14:paraId="7EF5F1CB">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4A8E9EF7">
      <w:pPr>
        <w:pageBreakBefore w:val="0"/>
        <w:kinsoku/>
        <w:overflowPunct/>
        <w:topLinePunct w:val="0"/>
        <w:bidi w:val="0"/>
        <w:spacing w:afterLines="50" w:line="360" w:lineRule="auto"/>
        <w:rPr>
          <w:rFonts w:ascii="Times New Roman" w:hAnsi="Times New Roman"/>
          <w:bCs/>
          <w:color w:val="auto"/>
          <w:sz w:val="24"/>
          <w:szCs w:val="24"/>
          <w:highlight w:val="none"/>
        </w:rPr>
      </w:pPr>
      <w:r>
        <w:rPr>
          <w:rFonts w:ascii="Times New Roman" w:hAnsi="Times New Roman"/>
          <w:color w:val="auto"/>
          <w:sz w:val="24"/>
          <w:szCs w:val="24"/>
          <w:highlight w:val="none"/>
        </w:rPr>
        <w:t>项目名称：</w:t>
      </w:r>
    </w:p>
    <w:tbl>
      <w:tblPr>
        <w:tblStyle w:val="3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9"/>
        <w:gridCol w:w="1395"/>
        <w:gridCol w:w="929"/>
        <w:gridCol w:w="1783"/>
      </w:tblGrid>
      <w:tr w14:paraId="6FE80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89" w:type="pct"/>
            <w:noWrap w:val="0"/>
            <w:vAlign w:val="center"/>
          </w:tcPr>
          <w:p w14:paraId="0887FA07">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磋商文件要求</w:t>
            </w:r>
          </w:p>
        </w:tc>
        <w:tc>
          <w:tcPr>
            <w:tcW w:w="751" w:type="pct"/>
            <w:noWrap w:val="0"/>
            <w:vAlign w:val="center"/>
          </w:tcPr>
          <w:p w14:paraId="56FC8E87">
            <w:pPr>
              <w:pageBreakBefore w:val="0"/>
              <w:kinsoku/>
              <w:overflowPunct/>
              <w:topLinePunct w:val="0"/>
              <w:bidi w:val="0"/>
              <w:spacing w:line="360" w:lineRule="auto"/>
              <w:ind w:left="-109" w:leftChars="-52" w:right="-107" w:rightChars="-51"/>
              <w:jc w:val="center"/>
              <w:rPr>
                <w:rFonts w:eastAsia="黑体"/>
                <w:color w:val="auto"/>
                <w:sz w:val="24"/>
                <w:szCs w:val="24"/>
                <w:highlight w:val="none"/>
              </w:rPr>
            </w:pPr>
            <w:r>
              <w:rPr>
                <w:rFonts w:eastAsia="黑体"/>
                <w:color w:val="auto"/>
                <w:sz w:val="24"/>
                <w:szCs w:val="24"/>
                <w:highlight w:val="none"/>
              </w:rPr>
              <w:t>响应文件响应情况</w:t>
            </w:r>
          </w:p>
        </w:tc>
        <w:tc>
          <w:tcPr>
            <w:tcW w:w="500" w:type="pct"/>
            <w:noWrap w:val="0"/>
            <w:vAlign w:val="center"/>
          </w:tcPr>
          <w:p w14:paraId="1DC8DBF0">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偏离说明</w:t>
            </w:r>
          </w:p>
        </w:tc>
        <w:tc>
          <w:tcPr>
            <w:tcW w:w="960" w:type="pct"/>
            <w:noWrap w:val="0"/>
            <w:vAlign w:val="center"/>
          </w:tcPr>
          <w:p w14:paraId="1138BD3F">
            <w:pPr>
              <w:pageBreakBefore w:val="0"/>
              <w:kinsoku/>
              <w:overflowPunct/>
              <w:topLinePunct w:val="0"/>
              <w:bidi w:val="0"/>
              <w:spacing w:line="360" w:lineRule="auto"/>
              <w:jc w:val="center"/>
              <w:rPr>
                <w:rFonts w:eastAsia="黑体"/>
                <w:color w:val="auto"/>
                <w:sz w:val="24"/>
                <w:szCs w:val="24"/>
                <w:highlight w:val="none"/>
              </w:rPr>
            </w:pPr>
            <w:r>
              <w:rPr>
                <w:rFonts w:eastAsia="黑体"/>
                <w:color w:val="auto"/>
                <w:sz w:val="24"/>
                <w:szCs w:val="24"/>
                <w:highlight w:val="none"/>
              </w:rPr>
              <w:t>备注</w:t>
            </w:r>
          </w:p>
        </w:tc>
      </w:tr>
      <w:tr w14:paraId="0EDD8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53E1EC4">
            <w:pPr>
              <w:pageBreakBefore w:val="0"/>
              <w:kinsoku/>
              <w:overflowPunct/>
              <w:topLinePunct w:val="0"/>
              <w:bidi w:val="0"/>
              <w:spacing w:line="360" w:lineRule="auto"/>
              <w:rPr>
                <w:color w:val="auto"/>
                <w:highlight w:val="none"/>
              </w:rPr>
            </w:pPr>
          </w:p>
        </w:tc>
        <w:tc>
          <w:tcPr>
            <w:tcW w:w="751" w:type="pct"/>
            <w:noWrap w:val="0"/>
            <w:vAlign w:val="top"/>
          </w:tcPr>
          <w:p w14:paraId="5F6D4119">
            <w:pPr>
              <w:pageBreakBefore w:val="0"/>
              <w:kinsoku/>
              <w:overflowPunct/>
              <w:topLinePunct w:val="0"/>
              <w:bidi w:val="0"/>
              <w:spacing w:line="360" w:lineRule="auto"/>
              <w:rPr>
                <w:color w:val="auto"/>
                <w:sz w:val="24"/>
                <w:szCs w:val="24"/>
                <w:highlight w:val="none"/>
              </w:rPr>
            </w:pPr>
          </w:p>
        </w:tc>
        <w:tc>
          <w:tcPr>
            <w:tcW w:w="500" w:type="pct"/>
            <w:noWrap w:val="0"/>
            <w:vAlign w:val="top"/>
          </w:tcPr>
          <w:p w14:paraId="296BD7A1">
            <w:pPr>
              <w:pageBreakBefore w:val="0"/>
              <w:kinsoku/>
              <w:overflowPunct/>
              <w:topLinePunct w:val="0"/>
              <w:bidi w:val="0"/>
              <w:spacing w:line="360" w:lineRule="auto"/>
              <w:rPr>
                <w:color w:val="auto"/>
                <w:sz w:val="24"/>
                <w:szCs w:val="24"/>
                <w:highlight w:val="none"/>
              </w:rPr>
            </w:pPr>
          </w:p>
        </w:tc>
        <w:tc>
          <w:tcPr>
            <w:tcW w:w="960" w:type="pct"/>
            <w:noWrap w:val="0"/>
            <w:vAlign w:val="top"/>
          </w:tcPr>
          <w:p w14:paraId="41B25207">
            <w:pPr>
              <w:pageBreakBefore w:val="0"/>
              <w:kinsoku/>
              <w:overflowPunct/>
              <w:topLinePunct w:val="0"/>
              <w:bidi w:val="0"/>
              <w:spacing w:line="360" w:lineRule="auto"/>
              <w:rPr>
                <w:color w:val="auto"/>
                <w:sz w:val="24"/>
                <w:szCs w:val="24"/>
                <w:highlight w:val="none"/>
              </w:rPr>
            </w:pPr>
          </w:p>
        </w:tc>
      </w:tr>
      <w:tr w14:paraId="6842C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658B6DD">
            <w:pPr>
              <w:pageBreakBefore w:val="0"/>
              <w:kinsoku/>
              <w:overflowPunct/>
              <w:topLinePunct w:val="0"/>
              <w:bidi w:val="0"/>
              <w:spacing w:line="360" w:lineRule="auto"/>
              <w:rPr>
                <w:color w:val="auto"/>
                <w:highlight w:val="none"/>
              </w:rPr>
            </w:pPr>
          </w:p>
        </w:tc>
        <w:tc>
          <w:tcPr>
            <w:tcW w:w="751" w:type="pct"/>
            <w:noWrap w:val="0"/>
            <w:vAlign w:val="top"/>
          </w:tcPr>
          <w:p w14:paraId="5141F28E">
            <w:pPr>
              <w:pageBreakBefore w:val="0"/>
              <w:kinsoku/>
              <w:overflowPunct/>
              <w:topLinePunct w:val="0"/>
              <w:bidi w:val="0"/>
              <w:spacing w:line="360" w:lineRule="auto"/>
              <w:rPr>
                <w:color w:val="auto"/>
                <w:sz w:val="24"/>
                <w:szCs w:val="24"/>
                <w:highlight w:val="none"/>
              </w:rPr>
            </w:pPr>
          </w:p>
        </w:tc>
        <w:tc>
          <w:tcPr>
            <w:tcW w:w="500" w:type="pct"/>
            <w:noWrap w:val="0"/>
            <w:vAlign w:val="top"/>
          </w:tcPr>
          <w:p w14:paraId="7AECE457">
            <w:pPr>
              <w:pageBreakBefore w:val="0"/>
              <w:kinsoku/>
              <w:overflowPunct/>
              <w:topLinePunct w:val="0"/>
              <w:bidi w:val="0"/>
              <w:spacing w:line="360" w:lineRule="auto"/>
              <w:rPr>
                <w:color w:val="auto"/>
                <w:sz w:val="24"/>
                <w:szCs w:val="24"/>
                <w:highlight w:val="none"/>
              </w:rPr>
            </w:pPr>
          </w:p>
        </w:tc>
        <w:tc>
          <w:tcPr>
            <w:tcW w:w="960" w:type="pct"/>
            <w:noWrap w:val="0"/>
            <w:vAlign w:val="top"/>
          </w:tcPr>
          <w:p w14:paraId="490E7D97">
            <w:pPr>
              <w:pageBreakBefore w:val="0"/>
              <w:kinsoku/>
              <w:overflowPunct/>
              <w:topLinePunct w:val="0"/>
              <w:bidi w:val="0"/>
              <w:spacing w:line="360" w:lineRule="auto"/>
              <w:rPr>
                <w:color w:val="auto"/>
                <w:sz w:val="24"/>
                <w:szCs w:val="24"/>
                <w:highlight w:val="none"/>
              </w:rPr>
            </w:pPr>
          </w:p>
        </w:tc>
      </w:tr>
      <w:tr w14:paraId="3DB71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7EDB766B">
            <w:pPr>
              <w:pageBreakBefore w:val="0"/>
              <w:kinsoku/>
              <w:overflowPunct/>
              <w:topLinePunct w:val="0"/>
              <w:bidi w:val="0"/>
              <w:spacing w:line="360" w:lineRule="auto"/>
              <w:rPr>
                <w:color w:val="auto"/>
                <w:highlight w:val="none"/>
              </w:rPr>
            </w:pPr>
          </w:p>
        </w:tc>
        <w:tc>
          <w:tcPr>
            <w:tcW w:w="751" w:type="pct"/>
            <w:noWrap w:val="0"/>
            <w:vAlign w:val="top"/>
          </w:tcPr>
          <w:p w14:paraId="5DCAF888">
            <w:pPr>
              <w:pageBreakBefore w:val="0"/>
              <w:kinsoku/>
              <w:overflowPunct/>
              <w:topLinePunct w:val="0"/>
              <w:bidi w:val="0"/>
              <w:spacing w:line="360" w:lineRule="auto"/>
              <w:rPr>
                <w:color w:val="auto"/>
                <w:sz w:val="24"/>
                <w:szCs w:val="24"/>
                <w:highlight w:val="none"/>
              </w:rPr>
            </w:pPr>
          </w:p>
        </w:tc>
        <w:tc>
          <w:tcPr>
            <w:tcW w:w="500" w:type="pct"/>
            <w:noWrap w:val="0"/>
            <w:vAlign w:val="top"/>
          </w:tcPr>
          <w:p w14:paraId="297327AA">
            <w:pPr>
              <w:pageBreakBefore w:val="0"/>
              <w:kinsoku/>
              <w:overflowPunct/>
              <w:topLinePunct w:val="0"/>
              <w:bidi w:val="0"/>
              <w:spacing w:line="360" w:lineRule="auto"/>
              <w:rPr>
                <w:color w:val="auto"/>
                <w:sz w:val="24"/>
                <w:szCs w:val="24"/>
                <w:highlight w:val="none"/>
              </w:rPr>
            </w:pPr>
          </w:p>
        </w:tc>
        <w:tc>
          <w:tcPr>
            <w:tcW w:w="960" w:type="pct"/>
            <w:noWrap w:val="0"/>
            <w:vAlign w:val="top"/>
          </w:tcPr>
          <w:p w14:paraId="0712D377">
            <w:pPr>
              <w:pageBreakBefore w:val="0"/>
              <w:kinsoku/>
              <w:overflowPunct/>
              <w:topLinePunct w:val="0"/>
              <w:bidi w:val="0"/>
              <w:spacing w:line="360" w:lineRule="auto"/>
              <w:rPr>
                <w:color w:val="auto"/>
                <w:sz w:val="24"/>
                <w:szCs w:val="24"/>
                <w:highlight w:val="none"/>
              </w:rPr>
            </w:pPr>
          </w:p>
        </w:tc>
      </w:tr>
      <w:tr w14:paraId="67DC7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52C97AC">
            <w:pPr>
              <w:pageBreakBefore w:val="0"/>
              <w:kinsoku/>
              <w:overflowPunct/>
              <w:topLinePunct w:val="0"/>
              <w:bidi w:val="0"/>
              <w:spacing w:line="360" w:lineRule="auto"/>
              <w:rPr>
                <w:color w:val="auto"/>
                <w:highlight w:val="none"/>
              </w:rPr>
            </w:pPr>
          </w:p>
        </w:tc>
        <w:tc>
          <w:tcPr>
            <w:tcW w:w="751" w:type="pct"/>
            <w:noWrap w:val="0"/>
            <w:vAlign w:val="top"/>
          </w:tcPr>
          <w:p w14:paraId="3FA8BD98">
            <w:pPr>
              <w:pageBreakBefore w:val="0"/>
              <w:kinsoku/>
              <w:overflowPunct/>
              <w:topLinePunct w:val="0"/>
              <w:bidi w:val="0"/>
              <w:spacing w:line="360" w:lineRule="auto"/>
              <w:rPr>
                <w:color w:val="auto"/>
                <w:sz w:val="24"/>
                <w:szCs w:val="24"/>
                <w:highlight w:val="none"/>
              </w:rPr>
            </w:pPr>
          </w:p>
        </w:tc>
        <w:tc>
          <w:tcPr>
            <w:tcW w:w="500" w:type="pct"/>
            <w:noWrap w:val="0"/>
            <w:vAlign w:val="top"/>
          </w:tcPr>
          <w:p w14:paraId="02A6AE42">
            <w:pPr>
              <w:pageBreakBefore w:val="0"/>
              <w:kinsoku/>
              <w:overflowPunct/>
              <w:topLinePunct w:val="0"/>
              <w:bidi w:val="0"/>
              <w:spacing w:line="360" w:lineRule="auto"/>
              <w:rPr>
                <w:color w:val="auto"/>
                <w:sz w:val="24"/>
                <w:szCs w:val="24"/>
                <w:highlight w:val="none"/>
              </w:rPr>
            </w:pPr>
          </w:p>
        </w:tc>
        <w:tc>
          <w:tcPr>
            <w:tcW w:w="960" w:type="pct"/>
            <w:noWrap w:val="0"/>
            <w:vAlign w:val="top"/>
          </w:tcPr>
          <w:p w14:paraId="0AF85227">
            <w:pPr>
              <w:pageBreakBefore w:val="0"/>
              <w:kinsoku/>
              <w:overflowPunct/>
              <w:topLinePunct w:val="0"/>
              <w:bidi w:val="0"/>
              <w:spacing w:line="360" w:lineRule="auto"/>
              <w:rPr>
                <w:color w:val="auto"/>
                <w:sz w:val="24"/>
                <w:szCs w:val="24"/>
                <w:highlight w:val="none"/>
              </w:rPr>
            </w:pPr>
          </w:p>
        </w:tc>
      </w:tr>
      <w:tr w14:paraId="56043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0E9ECDF">
            <w:pPr>
              <w:pageBreakBefore w:val="0"/>
              <w:kinsoku/>
              <w:overflowPunct/>
              <w:topLinePunct w:val="0"/>
              <w:bidi w:val="0"/>
              <w:spacing w:line="360" w:lineRule="auto"/>
              <w:rPr>
                <w:color w:val="auto"/>
                <w:highlight w:val="none"/>
              </w:rPr>
            </w:pPr>
          </w:p>
        </w:tc>
        <w:tc>
          <w:tcPr>
            <w:tcW w:w="751" w:type="pct"/>
            <w:noWrap w:val="0"/>
            <w:vAlign w:val="top"/>
          </w:tcPr>
          <w:p w14:paraId="7056180A">
            <w:pPr>
              <w:pageBreakBefore w:val="0"/>
              <w:kinsoku/>
              <w:overflowPunct/>
              <w:topLinePunct w:val="0"/>
              <w:bidi w:val="0"/>
              <w:spacing w:line="360" w:lineRule="auto"/>
              <w:rPr>
                <w:color w:val="auto"/>
                <w:sz w:val="24"/>
                <w:szCs w:val="24"/>
                <w:highlight w:val="none"/>
              </w:rPr>
            </w:pPr>
          </w:p>
        </w:tc>
        <w:tc>
          <w:tcPr>
            <w:tcW w:w="500" w:type="pct"/>
            <w:noWrap w:val="0"/>
            <w:vAlign w:val="top"/>
          </w:tcPr>
          <w:p w14:paraId="67D61091">
            <w:pPr>
              <w:pageBreakBefore w:val="0"/>
              <w:kinsoku/>
              <w:overflowPunct/>
              <w:topLinePunct w:val="0"/>
              <w:bidi w:val="0"/>
              <w:spacing w:line="360" w:lineRule="auto"/>
              <w:rPr>
                <w:color w:val="auto"/>
                <w:sz w:val="24"/>
                <w:szCs w:val="24"/>
                <w:highlight w:val="none"/>
              </w:rPr>
            </w:pPr>
          </w:p>
        </w:tc>
        <w:tc>
          <w:tcPr>
            <w:tcW w:w="960" w:type="pct"/>
            <w:noWrap w:val="0"/>
            <w:vAlign w:val="top"/>
          </w:tcPr>
          <w:p w14:paraId="6EEA4003">
            <w:pPr>
              <w:pageBreakBefore w:val="0"/>
              <w:kinsoku/>
              <w:overflowPunct/>
              <w:topLinePunct w:val="0"/>
              <w:bidi w:val="0"/>
              <w:spacing w:line="360" w:lineRule="auto"/>
              <w:rPr>
                <w:color w:val="auto"/>
                <w:sz w:val="24"/>
                <w:szCs w:val="24"/>
                <w:highlight w:val="none"/>
              </w:rPr>
            </w:pPr>
          </w:p>
        </w:tc>
      </w:tr>
      <w:tr w14:paraId="466B0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233553B1">
            <w:pPr>
              <w:pageBreakBefore w:val="0"/>
              <w:kinsoku/>
              <w:overflowPunct/>
              <w:topLinePunct w:val="0"/>
              <w:bidi w:val="0"/>
              <w:spacing w:line="360" w:lineRule="auto"/>
              <w:rPr>
                <w:color w:val="auto"/>
                <w:highlight w:val="none"/>
              </w:rPr>
            </w:pPr>
          </w:p>
        </w:tc>
        <w:tc>
          <w:tcPr>
            <w:tcW w:w="751" w:type="pct"/>
            <w:noWrap w:val="0"/>
            <w:vAlign w:val="top"/>
          </w:tcPr>
          <w:p w14:paraId="4C33CDC5">
            <w:pPr>
              <w:pageBreakBefore w:val="0"/>
              <w:kinsoku/>
              <w:overflowPunct/>
              <w:topLinePunct w:val="0"/>
              <w:bidi w:val="0"/>
              <w:spacing w:line="360" w:lineRule="auto"/>
              <w:rPr>
                <w:color w:val="auto"/>
                <w:sz w:val="24"/>
                <w:szCs w:val="24"/>
                <w:highlight w:val="none"/>
              </w:rPr>
            </w:pPr>
          </w:p>
        </w:tc>
        <w:tc>
          <w:tcPr>
            <w:tcW w:w="500" w:type="pct"/>
            <w:noWrap w:val="0"/>
            <w:vAlign w:val="top"/>
          </w:tcPr>
          <w:p w14:paraId="13E3897B">
            <w:pPr>
              <w:pageBreakBefore w:val="0"/>
              <w:kinsoku/>
              <w:overflowPunct/>
              <w:topLinePunct w:val="0"/>
              <w:bidi w:val="0"/>
              <w:spacing w:line="360" w:lineRule="auto"/>
              <w:rPr>
                <w:color w:val="auto"/>
                <w:sz w:val="24"/>
                <w:szCs w:val="24"/>
                <w:highlight w:val="none"/>
              </w:rPr>
            </w:pPr>
          </w:p>
        </w:tc>
        <w:tc>
          <w:tcPr>
            <w:tcW w:w="960" w:type="pct"/>
            <w:noWrap w:val="0"/>
            <w:vAlign w:val="top"/>
          </w:tcPr>
          <w:p w14:paraId="4C8DE2A7">
            <w:pPr>
              <w:pageBreakBefore w:val="0"/>
              <w:kinsoku/>
              <w:overflowPunct/>
              <w:topLinePunct w:val="0"/>
              <w:bidi w:val="0"/>
              <w:spacing w:line="360" w:lineRule="auto"/>
              <w:rPr>
                <w:color w:val="auto"/>
                <w:sz w:val="24"/>
                <w:szCs w:val="24"/>
                <w:highlight w:val="none"/>
              </w:rPr>
            </w:pPr>
          </w:p>
        </w:tc>
      </w:tr>
      <w:tr w14:paraId="2F89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424ECA8">
            <w:pPr>
              <w:pageBreakBefore w:val="0"/>
              <w:kinsoku/>
              <w:overflowPunct/>
              <w:topLinePunct w:val="0"/>
              <w:bidi w:val="0"/>
              <w:spacing w:line="360" w:lineRule="auto"/>
              <w:rPr>
                <w:color w:val="auto"/>
                <w:highlight w:val="none"/>
              </w:rPr>
            </w:pPr>
          </w:p>
        </w:tc>
        <w:tc>
          <w:tcPr>
            <w:tcW w:w="751" w:type="pct"/>
            <w:noWrap w:val="0"/>
            <w:vAlign w:val="top"/>
          </w:tcPr>
          <w:p w14:paraId="6B78AD7D">
            <w:pPr>
              <w:pageBreakBefore w:val="0"/>
              <w:kinsoku/>
              <w:overflowPunct/>
              <w:topLinePunct w:val="0"/>
              <w:bidi w:val="0"/>
              <w:spacing w:line="360" w:lineRule="auto"/>
              <w:rPr>
                <w:color w:val="auto"/>
                <w:sz w:val="24"/>
                <w:szCs w:val="24"/>
                <w:highlight w:val="none"/>
              </w:rPr>
            </w:pPr>
          </w:p>
        </w:tc>
        <w:tc>
          <w:tcPr>
            <w:tcW w:w="500" w:type="pct"/>
            <w:noWrap w:val="0"/>
            <w:vAlign w:val="top"/>
          </w:tcPr>
          <w:p w14:paraId="0CBA904F">
            <w:pPr>
              <w:pageBreakBefore w:val="0"/>
              <w:kinsoku/>
              <w:overflowPunct/>
              <w:topLinePunct w:val="0"/>
              <w:bidi w:val="0"/>
              <w:spacing w:line="360" w:lineRule="auto"/>
              <w:rPr>
                <w:color w:val="auto"/>
                <w:sz w:val="24"/>
                <w:szCs w:val="24"/>
                <w:highlight w:val="none"/>
              </w:rPr>
            </w:pPr>
          </w:p>
        </w:tc>
        <w:tc>
          <w:tcPr>
            <w:tcW w:w="960" w:type="pct"/>
            <w:noWrap w:val="0"/>
            <w:vAlign w:val="top"/>
          </w:tcPr>
          <w:p w14:paraId="51A523DF">
            <w:pPr>
              <w:pageBreakBefore w:val="0"/>
              <w:kinsoku/>
              <w:overflowPunct/>
              <w:topLinePunct w:val="0"/>
              <w:bidi w:val="0"/>
              <w:spacing w:line="360" w:lineRule="auto"/>
              <w:rPr>
                <w:color w:val="auto"/>
                <w:sz w:val="24"/>
                <w:szCs w:val="24"/>
                <w:highlight w:val="none"/>
              </w:rPr>
            </w:pPr>
          </w:p>
        </w:tc>
      </w:tr>
      <w:tr w14:paraId="7134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5778D35F">
            <w:pPr>
              <w:pageBreakBefore w:val="0"/>
              <w:kinsoku/>
              <w:overflowPunct/>
              <w:topLinePunct w:val="0"/>
              <w:bidi w:val="0"/>
              <w:spacing w:line="360" w:lineRule="auto"/>
              <w:rPr>
                <w:color w:val="auto"/>
                <w:highlight w:val="none"/>
              </w:rPr>
            </w:pPr>
          </w:p>
        </w:tc>
        <w:tc>
          <w:tcPr>
            <w:tcW w:w="751" w:type="pct"/>
            <w:noWrap w:val="0"/>
            <w:vAlign w:val="top"/>
          </w:tcPr>
          <w:p w14:paraId="355CDB3C">
            <w:pPr>
              <w:pageBreakBefore w:val="0"/>
              <w:kinsoku/>
              <w:overflowPunct/>
              <w:topLinePunct w:val="0"/>
              <w:bidi w:val="0"/>
              <w:spacing w:line="360" w:lineRule="auto"/>
              <w:rPr>
                <w:color w:val="auto"/>
                <w:sz w:val="24"/>
                <w:szCs w:val="24"/>
                <w:highlight w:val="none"/>
              </w:rPr>
            </w:pPr>
          </w:p>
        </w:tc>
        <w:tc>
          <w:tcPr>
            <w:tcW w:w="500" w:type="pct"/>
            <w:noWrap w:val="0"/>
            <w:vAlign w:val="top"/>
          </w:tcPr>
          <w:p w14:paraId="15FDF8BE">
            <w:pPr>
              <w:pageBreakBefore w:val="0"/>
              <w:kinsoku/>
              <w:overflowPunct/>
              <w:topLinePunct w:val="0"/>
              <w:bidi w:val="0"/>
              <w:spacing w:line="360" w:lineRule="auto"/>
              <w:rPr>
                <w:color w:val="auto"/>
                <w:sz w:val="24"/>
                <w:szCs w:val="24"/>
                <w:highlight w:val="none"/>
              </w:rPr>
            </w:pPr>
          </w:p>
        </w:tc>
        <w:tc>
          <w:tcPr>
            <w:tcW w:w="960" w:type="pct"/>
            <w:noWrap w:val="0"/>
            <w:vAlign w:val="top"/>
          </w:tcPr>
          <w:p w14:paraId="23150CBC">
            <w:pPr>
              <w:pageBreakBefore w:val="0"/>
              <w:kinsoku/>
              <w:overflowPunct/>
              <w:topLinePunct w:val="0"/>
              <w:bidi w:val="0"/>
              <w:spacing w:line="360" w:lineRule="auto"/>
              <w:rPr>
                <w:color w:val="auto"/>
                <w:sz w:val="24"/>
                <w:szCs w:val="24"/>
                <w:highlight w:val="none"/>
              </w:rPr>
            </w:pPr>
          </w:p>
        </w:tc>
      </w:tr>
      <w:tr w14:paraId="034A9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0C428A3F">
            <w:pPr>
              <w:pageBreakBefore w:val="0"/>
              <w:kinsoku/>
              <w:overflowPunct/>
              <w:topLinePunct w:val="0"/>
              <w:bidi w:val="0"/>
              <w:spacing w:line="360" w:lineRule="auto"/>
              <w:rPr>
                <w:color w:val="auto"/>
                <w:highlight w:val="none"/>
              </w:rPr>
            </w:pPr>
          </w:p>
        </w:tc>
        <w:tc>
          <w:tcPr>
            <w:tcW w:w="751" w:type="pct"/>
            <w:noWrap w:val="0"/>
            <w:vAlign w:val="top"/>
          </w:tcPr>
          <w:p w14:paraId="43F2EE20">
            <w:pPr>
              <w:pageBreakBefore w:val="0"/>
              <w:kinsoku/>
              <w:overflowPunct/>
              <w:topLinePunct w:val="0"/>
              <w:bidi w:val="0"/>
              <w:spacing w:line="360" w:lineRule="auto"/>
              <w:rPr>
                <w:color w:val="auto"/>
                <w:sz w:val="24"/>
                <w:szCs w:val="24"/>
                <w:highlight w:val="none"/>
              </w:rPr>
            </w:pPr>
          </w:p>
        </w:tc>
        <w:tc>
          <w:tcPr>
            <w:tcW w:w="500" w:type="pct"/>
            <w:noWrap w:val="0"/>
            <w:vAlign w:val="top"/>
          </w:tcPr>
          <w:p w14:paraId="3B5C71BB">
            <w:pPr>
              <w:pageBreakBefore w:val="0"/>
              <w:kinsoku/>
              <w:overflowPunct/>
              <w:topLinePunct w:val="0"/>
              <w:bidi w:val="0"/>
              <w:spacing w:line="360" w:lineRule="auto"/>
              <w:rPr>
                <w:color w:val="auto"/>
                <w:sz w:val="24"/>
                <w:szCs w:val="24"/>
                <w:highlight w:val="none"/>
              </w:rPr>
            </w:pPr>
          </w:p>
        </w:tc>
        <w:tc>
          <w:tcPr>
            <w:tcW w:w="960" w:type="pct"/>
            <w:noWrap w:val="0"/>
            <w:vAlign w:val="top"/>
          </w:tcPr>
          <w:p w14:paraId="3EF0B52C">
            <w:pPr>
              <w:pageBreakBefore w:val="0"/>
              <w:kinsoku/>
              <w:overflowPunct/>
              <w:topLinePunct w:val="0"/>
              <w:bidi w:val="0"/>
              <w:spacing w:line="360" w:lineRule="auto"/>
              <w:rPr>
                <w:color w:val="auto"/>
                <w:sz w:val="24"/>
                <w:szCs w:val="24"/>
                <w:highlight w:val="none"/>
              </w:rPr>
            </w:pPr>
          </w:p>
        </w:tc>
      </w:tr>
      <w:tr w14:paraId="20CB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7EE9FBD">
            <w:pPr>
              <w:pageBreakBefore w:val="0"/>
              <w:kinsoku/>
              <w:overflowPunct/>
              <w:topLinePunct w:val="0"/>
              <w:bidi w:val="0"/>
              <w:spacing w:line="360" w:lineRule="auto"/>
              <w:rPr>
                <w:color w:val="auto"/>
                <w:highlight w:val="none"/>
              </w:rPr>
            </w:pPr>
          </w:p>
        </w:tc>
        <w:tc>
          <w:tcPr>
            <w:tcW w:w="751" w:type="pct"/>
            <w:noWrap w:val="0"/>
            <w:vAlign w:val="top"/>
          </w:tcPr>
          <w:p w14:paraId="27948C3B">
            <w:pPr>
              <w:pageBreakBefore w:val="0"/>
              <w:kinsoku/>
              <w:overflowPunct/>
              <w:topLinePunct w:val="0"/>
              <w:bidi w:val="0"/>
              <w:spacing w:line="360" w:lineRule="auto"/>
              <w:rPr>
                <w:color w:val="auto"/>
                <w:sz w:val="24"/>
                <w:szCs w:val="24"/>
                <w:highlight w:val="none"/>
              </w:rPr>
            </w:pPr>
          </w:p>
        </w:tc>
        <w:tc>
          <w:tcPr>
            <w:tcW w:w="500" w:type="pct"/>
            <w:noWrap w:val="0"/>
            <w:vAlign w:val="top"/>
          </w:tcPr>
          <w:p w14:paraId="373F48F5">
            <w:pPr>
              <w:pageBreakBefore w:val="0"/>
              <w:kinsoku/>
              <w:overflowPunct/>
              <w:topLinePunct w:val="0"/>
              <w:bidi w:val="0"/>
              <w:spacing w:line="360" w:lineRule="auto"/>
              <w:rPr>
                <w:color w:val="auto"/>
                <w:sz w:val="24"/>
                <w:szCs w:val="24"/>
                <w:highlight w:val="none"/>
              </w:rPr>
            </w:pPr>
          </w:p>
        </w:tc>
        <w:tc>
          <w:tcPr>
            <w:tcW w:w="960" w:type="pct"/>
            <w:noWrap w:val="0"/>
            <w:vAlign w:val="top"/>
          </w:tcPr>
          <w:p w14:paraId="52A9EE6C">
            <w:pPr>
              <w:pageBreakBefore w:val="0"/>
              <w:kinsoku/>
              <w:overflowPunct/>
              <w:topLinePunct w:val="0"/>
              <w:bidi w:val="0"/>
              <w:spacing w:line="360" w:lineRule="auto"/>
              <w:rPr>
                <w:color w:val="auto"/>
                <w:sz w:val="24"/>
                <w:szCs w:val="24"/>
                <w:highlight w:val="none"/>
              </w:rPr>
            </w:pPr>
          </w:p>
        </w:tc>
      </w:tr>
      <w:tr w14:paraId="3CB4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1D9CFCAD">
            <w:pPr>
              <w:pageBreakBefore w:val="0"/>
              <w:kinsoku/>
              <w:overflowPunct/>
              <w:topLinePunct w:val="0"/>
              <w:bidi w:val="0"/>
              <w:spacing w:line="360" w:lineRule="auto"/>
              <w:rPr>
                <w:color w:val="auto"/>
                <w:highlight w:val="none"/>
              </w:rPr>
            </w:pPr>
          </w:p>
        </w:tc>
        <w:tc>
          <w:tcPr>
            <w:tcW w:w="751" w:type="pct"/>
            <w:noWrap w:val="0"/>
            <w:vAlign w:val="top"/>
          </w:tcPr>
          <w:p w14:paraId="0088565E">
            <w:pPr>
              <w:pageBreakBefore w:val="0"/>
              <w:kinsoku/>
              <w:overflowPunct/>
              <w:topLinePunct w:val="0"/>
              <w:bidi w:val="0"/>
              <w:spacing w:line="360" w:lineRule="auto"/>
              <w:rPr>
                <w:color w:val="auto"/>
                <w:sz w:val="24"/>
                <w:szCs w:val="24"/>
                <w:highlight w:val="none"/>
              </w:rPr>
            </w:pPr>
          </w:p>
        </w:tc>
        <w:tc>
          <w:tcPr>
            <w:tcW w:w="500" w:type="pct"/>
            <w:noWrap w:val="0"/>
            <w:vAlign w:val="top"/>
          </w:tcPr>
          <w:p w14:paraId="47A4C856">
            <w:pPr>
              <w:pageBreakBefore w:val="0"/>
              <w:kinsoku/>
              <w:overflowPunct/>
              <w:topLinePunct w:val="0"/>
              <w:bidi w:val="0"/>
              <w:spacing w:line="360" w:lineRule="auto"/>
              <w:rPr>
                <w:color w:val="auto"/>
                <w:sz w:val="24"/>
                <w:szCs w:val="24"/>
                <w:highlight w:val="none"/>
              </w:rPr>
            </w:pPr>
          </w:p>
        </w:tc>
        <w:tc>
          <w:tcPr>
            <w:tcW w:w="960" w:type="pct"/>
            <w:noWrap w:val="0"/>
            <w:vAlign w:val="top"/>
          </w:tcPr>
          <w:p w14:paraId="27D8FCC3">
            <w:pPr>
              <w:pageBreakBefore w:val="0"/>
              <w:kinsoku/>
              <w:overflowPunct/>
              <w:topLinePunct w:val="0"/>
              <w:bidi w:val="0"/>
              <w:spacing w:line="360" w:lineRule="auto"/>
              <w:rPr>
                <w:color w:val="auto"/>
                <w:sz w:val="24"/>
                <w:szCs w:val="24"/>
                <w:highlight w:val="none"/>
              </w:rPr>
            </w:pPr>
          </w:p>
        </w:tc>
      </w:tr>
      <w:tr w14:paraId="5D78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6D8447E3">
            <w:pPr>
              <w:pageBreakBefore w:val="0"/>
              <w:kinsoku/>
              <w:overflowPunct/>
              <w:topLinePunct w:val="0"/>
              <w:bidi w:val="0"/>
              <w:spacing w:line="360" w:lineRule="auto"/>
              <w:rPr>
                <w:color w:val="auto"/>
                <w:highlight w:val="none"/>
              </w:rPr>
            </w:pPr>
          </w:p>
        </w:tc>
        <w:tc>
          <w:tcPr>
            <w:tcW w:w="751" w:type="pct"/>
            <w:noWrap w:val="0"/>
            <w:vAlign w:val="top"/>
          </w:tcPr>
          <w:p w14:paraId="5B97876F">
            <w:pPr>
              <w:pageBreakBefore w:val="0"/>
              <w:kinsoku/>
              <w:overflowPunct/>
              <w:topLinePunct w:val="0"/>
              <w:bidi w:val="0"/>
              <w:spacing w:line="360" w:lineRule="auto"/>
              <w:rPr>
                <w:color w:val="auto"/>
                <w:sz w:val="24"/>
                <w:szCs w:val="24"/>
                <w:highlight w:val="none"/>
              </w:rPr>
            </w:pPr>
          </w:p>
        </w:tc>
        <w:tc>
          <w:tcPr>
            <w:tcW w:w="500" w:type="pct"/>
            <w:noWrap w:val="0"/>
            <w:vAlign w:val="top"/>
          </w:tcPr>
          <w:p w14:paraId="2C2E8D41">
            <w:pPr>
              <w:pageBreakBefore w:val="0"/>
              <w:kinsoku/>
              <w:overflowPunct/>
              <w:topLinePunct w:val="0"/>
              <w:bidi w:val="0"/>
              <w:spacing w:line="360" w:lineRule="auto"/>
              <w:rPr>
                <w:color w:val="auto"/>
                <w:sz w:val="24"/>
                <w:szCs w:val="24"/>
                <w:highlight w:val="none"/>
              </w:rPr>
            </w:pPr>
          </w:p>
        </w:tc>
        <w:tc>
          <w:tcPr>
            <w:tcW w:w="960" w:type="pct"/>
            <w:noWrap w:val="0"/>
            <w:vAlign w:val="top"/>
          </w:tcPr>
          <w:p w14:paraId="028694B7">
            <w:pPr>
              <w:pageBreakBefore w:val="0"/>
              <w:kinsoku/>
              <w:overflowPunct/>
              <w:topLinePunct w:val="0"/>
              <w:bidi w:val="0"/>
              <w:spacing w:line="360" w:lineRule="auto"/>
              <w:rPr>
                <w:color w:val="auto"/>
                <w:sz w:val="24"/>
                <w:szCs w:val="24"/>
                <w:highlight w:val="none"/>
              </w:rPr>
            </w:pPr>
          </w:p>
        </w:tc>
      </w:tr>
      <w:tr w14:paraId="45BBB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789" w:type="pct"/>
            <w:noWrap w:val="0"/>
            <w:vAlign w:val="center"/>
          </w:tcPr>
          <w:p w14:paraId="313EF940">
            <w:pPr>
              <w:pageBreakBefore w:val="0"/>
              <w:kinsoku/>
              <w:overflowPunct/>
              <w:topLinePunct w:val="0"/>
              <w:bidi w:val="0"/>
              <w:spacing w:line="360" w:lineRule="auto"/>
              <w:rPr>
                <w:color w:val="auto"/>
                <w:sz w:val="24"/>
                <w:szCs w:val="24"/>
                <w:highlight w:val="none"/>
              </w:rPr>
            </w:pPr>
            <w:r>
              <w:rPr>
                <w:color w:val="auto"/>
                <w:sz w:val="24"/>
                <w:szCs w:val="24"/>
                <w:highlight w:val="none"/>
              </w:rPr>
              <w:t>自评结论</w:t>
            </w:r>
          </w:p>
        </w:tc>
        <w:tc>
          <w:tcPr>
            <w:tcW w:w="751" w:type="pct"/>
            <w:noWrap w:val="0"/>
            <w:vAlign w:val="top"/>
          </w:tcPr>
          <w:p w14:paraId="2DA0A4F1">
            <w:pPr>
              <w:pageBreakBefore w:val="0"/>
              <w:kinsoku/>
              <w:overflowPunct/>
              <w:topLinePunct w:val="0"/>
              <w:bidi w:val="0"/>
              <w:spacing w:line="360" w:lineRule="auto"/>
              <w:rPr>
                <w:color w:val="auto"/>
                <w:sz w:val="24"/>
                <w:szCs w:val="24"/>
                <w:highlight w:val="none"/>
              </w:rPr>
            </w:pPr>
          </w:p>
        </w:tc>
        <w:tc>
          <w:tcPr>
            <w:tcW w:w="500" w:type="pct"/>
            <w:noWrap w:val="0"/>
            <w:vAlign w:val="top"/>
          </w:tcPr>
          <w:p w14:paraId="2F935601">
            <w:pPr>
              <w:pageBreakBefore w:val="0"/>
              <w:kinsoku/>
              <w:overflowPunct/>
              <w:topLinePunct w:val="0"/>
              <w:bidi w:val="0"/>
              <w:spacing w:line="360" w:lineRule="auto"/>
              <w:rPr>
                <w:color w:val="auto"/>
                <w:sz w:val="24"/>
                <w:szCs w:val="24"/>
                <w:highlight w:val="none"/>
              </w:rPr>
            </w:pPr>
          </w:p>
        </w:tc>
        <w:tc>
          <w:tcPr>
            <w:tcW w:w="960" w:type="pct"/>
            <w:noWrap w:val="0"/>
            <w:vAlign w:val="top"/>
          </w:tcPr>
          <w:p w14:paraId="1048CEC6">
            <w:pPr>
              <w:pageBreakBefore w:val="0"/>
              <w:kinsoku/>
              <w:overflowPunct/>
              <w:topLinePunct w:val="0"/>
              <w:bidi w:val="0"/>
              <w:spacing w:line="360" w:lineRule="auto"/>
              <w:rPr>
                <w:color w:val="auto"/>
                <w:sz w:val="24"/>
                <w:szCs w:val="24"/>
                <w:highlight w:val="none"/>
              </w:rPr>
            </w:pPr>
          </w:p>
        </w:tc>
      </w:tr>
    </w:tbl>
    <w:p w14:paraId="07CB250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168B67E">
      <w:pPr>
        <w:pageBreakBefore w:val="0"/>
        <w:kinsoku/>
        <w:overflowPunct/>
        <w:topLinePunct w:val="0"/>
        <w:bidi w:val="0"/>
        <w:spacing w:line="360" w:lineRule="auto"/>
        <w:ind w:firstLine="420" w:firstLineChars="200"/>
        <w:rPr>
          <w:rFonts w:ascii="Times New Roman" w:hAnsi="Times New Roman"/>
          <w:b/>
          <w:bCs/>
          <w:color w:val="auto"/>
          <w:sz w:val="24"/>
          <w:szCs w:val="24"/>
          <w:highlight w:val="none"/>
        </w:rPr>
      </w:pPr>
      <w:r>
        <w:rPr>
          <w:rFonts w:ascii="Times New Roman" w:hAnsi="Times New Roman"/>
          <w:color w:val="auto"/>
          <w:szCs w:val="21"/>
          <w:highlight w:val="none"/>
        </w:rPr>
        <w:t>1</w:t>
      </w:r>
      <w:r>
        <w:rPr>
          <w:rFonts w:ascii="宋体" w:hAnsi="宋体"/>
          <w:color w:val="auto"/>
          <w:sz w:val="24"/>
          <w:szCs w:val="24"/>
          <w:highlight w:val="none"/>
        </w:rPr>
        <w:t>.</w:t>
      </w:r>
      <w:r>
        <w:rPr>
          <w:rFonts w:ascii="Times New Roman" w:hAnsi="Times New Roman"/>
          <w:color w:val="auto"/>
          <w:szCs w:val="21"/>
          <w:highlight w:val="none"/>
        </w:rPr>
        <w:t>应对照磋商文件的要求，逐条说明所提供服务已对磋商文件的服务要求做出了实质性的响应，</w:t>
      </w:r>
      <w:r>
        <w:rPr>
          <w:rFonts w:ascii="Times New Roman" w:hAnsi="Times New Roman"/>
          <w:color w:val="auto"/>
          <w:sz w:val="24"/>
          <w:szCs w:val="24"/>
          <w:highlight w:val="none"/>
        </w:rPr>
        <w:t>并</w:t>
      </w:r>
      <w:r>
        <w:rPr>
          <w:rFonts w:ascii="Times New Roman" w:hAnsi="Times New Roman"/>
          <w:color w:val="auto"/>
          <w:sz w:val="24"/>
          <w:highlight w:val="none"/>
        </w:rPr>
        <w:t>说明</w:t>
      </w:r>
      <w:r>
        <w:rPr>
          <w:rFonts w:ascii="Times New Roman" w:hAnsi="Times New Roman"/>
          <w:color w:val="auto"/>
          <w:sz w:val="24"/>
          <w:szCs w:val="24"/>
          <w:highlight w:val="none"/>
        </w:rPr>
        <w:t>响应</w:t>
      </w:r>
      <w:r>
        <w:rPr>
          <w:rFonts w:ascii="Times New Roman" w:hAnsi="Times New Roman"/>
          <w:color w:val="auto"/>
          <w:sz w:val="24"/>
          <w:highlight w:val="none"/>
        </w:rPr>
        <w:t>情况</w:t>
      </w:r>
      <w:r>
        <w:rPr>
          <w:rFonts w:ascii="Times New Roman" w:hAnsi="Times New Roman"/>
          <w:color w:val="auto"/>
          <w:szCs w:val="21"/>
          <w:highlight w:val="none"/>
        </w:rPr>
        <w:t>。如果仅注明“符合”、“满足”或简单复制磋商文件要求，将导致响应文件无效。</w:t>
      </w:r>
    </w:p>
    <w:p w14:paraId="280960EF">
      <w:pPr>
        <w:pageBreakBefore w:val="0"/>
        <w:kinsoku/>
        <w:overflowPunct/>
        <w:topLinePunct w:val="0"/>
        <w:bidi w:val="0"/>
        <w:spacing w:line="360" w:lineRule="auto"/>
        <w:rPr>
          <w:rFonts w:ascii="Times New Roman" w:hAnsi="Times New Roman"/>
          <w:color w:val="auto"/>
          <w:sz w:val="24"/>
          <w:szCs w:val="24"/>
          <w:highlight w:val="none"/>
        </w:rPr>
      </w:pPr>
    </w:p>
    <w:p w14:paraId="6F1322A9">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01F2E017">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21011622">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szCs w:val="24"/>
          <w:highlight w:val="none"/>
        </w:rPr>
      </w:pPr>
      <w:r>
        <w:rPr>
          <w:rFonts w:ascii="Times New Roman" w:hAnsi="Times New Roman"/>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六</w:t>
      </w:r>
    </w:p>
    <w:p w14:paraId="163E9C1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hint="eastAsia" w:ascii="Times New Roman" w:hAnsi="Times New Roman" w:eastAsia="方正小标宋简体"/>
          <w:bCs/>
          <w:color w:val="auto"/>
          <w:sz w:val="40"/>
          <w:szCs w:val="40"/>
          <w:highlight w:val="none"/>
        </w:rPr>
        <w:t>商务</w:t>
      </w:r>
      <w:r>
        <w:rPr>
          <w:rFonts w:ascii="Times New Roman" w:hAnsi="Times New Roman" w:eastAsia="方正小标宋简体"/>
          <w:bCs/>
          <w:color w:val="auto"/>
          <w:sz w:val="40"/>
          <w:szCs w:val="40"/>
          <w:highlight w:val="none"/>
        </w:rPr>
        <w:t>响应、偏离情况说明表</w:t>
      </w:r>
    </w:p>
    <w:p w14:paraId="40DE16B9">
      <w:pPr>
        <w:pageBreakBefore w:val="0"/>
        <w:kinsoku/>
        <w:overflowPunct/>
        <w:topLinePunct w:val="0"/>
        <w:bidi w:val="0"/>
        <w:adjustRightInd w:val="0"/>
        <w:snapToGrid w:val="0"/>
        <w:spacing w:line="360" w:lineRule="auto"/>
        <w:jc w:val="center"/>
        <w:outlineLvl w:val="0"/>
        <w:rPr>
          <w:rFonts w:ascii="Times New Roman" w:hAnsi="Times New Roman"/>
          <w:color w:val="auto"/>
          <w:sz w:val="32"/>
          <w:szCs w:val="32"/>
          <w:highlight w:val="none"/>
        </w:rPr>
      </w:pPr>
    </w:p>
    <w:p w14:paraId="6E6A9503">
      <w:pPr>
        <w:pageBreakBefore w:val="0"/>
        <w:kinsoku/>
        <w:overflowPunct/>
        <w:topLinePunct w:val="0"/>
        <w:bidi w:val="0"/>
        <w:spacing w:afterLines="50"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项目编号（包号）：</w:t>
      </w:r>
    </w:p>
    <w:p w14:paraId="6FA29208">
      <w:pPr>
        <w:pageBreakBefore w:val="0"/>
        <w:kinsoku/>
        <w:overflowPunct/>
        <w:topLinePunct w:val="0"/>
        <w:bidi w:val="0"/>
        <w:spacing w:afterLines="50" w:line="360" w:lineRule="auto"/>
        <w:rPr>
          <w:rFonts w:ascii="Times New Roman" w:hAnsi="Times New Roman"/>
          <w:color w:val="auto"/>
          <w:sz w:val="24"/>
          <w:szCs w:val="24"/>
          <w:highlight w:val="none"/>
        </w:rPr>
      </w:pPr>
      <w:r>
        <w:rPr>
          <w:rFonts w:ascii="Times New Roman" w:hAnsi="Times New Roman"/>
          <w:color w:val="auto"/>
          <w:sz w:val="24"/>
          <w:szCs w:val="24"/>
          <w:highlight w:val="none"/>
        </w:rPr>
        <w:t>项目名称：</w:t>
      </w:r>
    </w:p>
    <w:tbl>
      <w:tblPr>
        <w:tblStyle w:val="30"/>
        <w:tblW w:w="477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2251"/>
        <w:gridCol w:w="2478"/>
        <w:gridCol w:w="1397"/>
        <w:gridCol w:w="2012"/>
      </w:tblGrid>
      <w:tr w14:paraId="5213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jc w:val="center"/>
        </w:trPr>
        <w:tc>
          <w:tcPr>
            <w:tcW w:w="408" w:type="pct"/>
            <w:noWrap w:val="0"/>
            <w:vAlign w:val="center"/>
          </w:tcPr>
          <w:p w14:paraId="4A7732E9">
            <w:pPr>
              <w:pageBreakBefore w:val="0"/>
              <w:kinsoku/>
              <w:overflowPunct/>
              <w:topLinePunct w:val="0"/>
              <w:bidi w:val="0"/>
              <w:spacing w:line="360" w:lineRule="auto"/>
              <w:rPr>
                <w:rFonts w:eastAsia="黑体"/>
                <w:bCs/>
                <w:color w:val="auto"/>
                <w:sz w:val="24"/>
                <w:highlight w:val="none"/>
              </w:rPr>
            </w:pPr>
            <w:r>
              <w:rPr>
                <w:rFonts w:eastAsia="黑体"/>
                <w:bCs/>
                <w:color w:val="auto"/>
                <w:sz w:val="24"/>
                <w:highlight w:val="none"/>
              </w:rPr>
              <w:t>序号</w:t>
            </w:r>
          </w:p>
        </w:tc>
        <w:tc>
          <w:tcPr>
            <w:tcW w:w="1270" w:type="pct"/>
            <w:noWrap w:val="0"/>
            <w:vAlign w:val="center"/>
          </w:tcPr>
          <w:p w14:paraId="63BC8AA0">
            <w:pPr>
              <w:pageBreakBefore w:val="0"/>
              <w:kinsoku/>
              <w:overflowPunct/>
              <w:topLinePunct w:val="0"/>
              <w:bidi w:val="0"/>
              <w:spacing w:line="360" w:lineRule="auto"/>
              <w:ind w:right="-80" w:rightChars="-38"/>
              <w:jc w:val="center"/>
              <w:rPr>
                <w:rFonts w:eastAsia="黑体"/>
                <w:bCs/>
                <w:color w:val="auto"/>
                <w:sz w:val="24"/>
                <w:highlight w:val="none"/>
              </w:rPr>
            </w:pPr>
            <w:r>
              <w:rPr>
                <w:rFonts w:eastAsia="黑体"/>
                <w:bCs/>
                <w:color w:val="auto"/>
                <w:sz w:val="24"/>
                <w:highlight w:val="none"/>
              </w:rPr>
              <w:t>磋商文件要求部分</w:t>
            </w:r>
          </w:p>
        </w:tc>
        <w:tc>
          <w:tcPr>
            <w:tcW w:w="1398" w:type="pct"/>
            <w:noWrap w:val="0"/>
            <w:vAlign w:val="center"/>
          </w:tcPr>
          <w:p w14:paraId="7035A8D5">
            <w:pPr>
              <w:pageBreakBefore w:val="0"/>
              <w:kinsoku/>
              <w:overflowPunct/>
              <w:topLinePunct w:val="0"/>
              <w:bidi w:val="0"/>
              <w:spacing w:line="360" w:lineRule="auto"/>
              <w:ind w:left="28" w:leftChars="-38" w:right="-80" w:rightChars="-38" w:hanging="108" w:hangingChars="45"/>
              <w:jc w:val="center"/>
              <w:rPr>
                <w:rFonts w:eastAsia="黑体"/>
                <w:bCs/>
                <w:color w:val="auto"/>
                <w:sz w:val="24"/>
                <w:highlight w:val="none"/>
              </w:rPr>
            </w:pPr>
            <w:r>
              <w:rPr>
                <w:rFonts w:eastAsia="黑体"/>
                <w:bCs/>
                <w:color w:val="auto"/>
                <w:sz w:val="24"/>
                <w:highlight w:val="none"/>
              </w:rPr>
              <w:t>响应文件的响应部分</w:t>
            </w:r>
          </w:p>
        </w:tc>
        <w:tc>
          <w:tcPr>
            <w:tcW w:w="788" w:type="pct"/>
            <w:noWrap w:val="0"/>
            <w:vAlign w:val="center"/>
          </w:tcPr>
          <w:p w14:paraId="7E2AD566">
            <w:pPr>
              <w:pageBreakBefore w:val="0"/>
              <w:kinsoku/>
              <w:overflowPunct/>
              <w:topLinePunct w:val="0"/>
              <w:bidi w:val="0"/>
              <w:spacing w:line="360" w:lineRule="auto"/>
              <w:jc w:val="center"/>
              <w:rPr>
                <w:rFonts w:eastAsia="黑体"/>
                <w:bCs/>
                <w:color w:val="auto"/>
                <w:sz w:val="24"/>
                <w:highlight w:val="none"/>
              </w:rPr>
            </w:pPr>
            <w:r>
              <w:rPr>
                <w:rFonts w:eastAsia="黑体"/>
                <w:bCs/>
                <w:color w:val="auto"/>
                <w:sz w:val="24"/>
                <w:highlight w:val="none"/>
              </w:rPr>
              <w:t>偏离说明</w:t>
            </w:r>
          </w:p>
        </w:tc>
        <w:tc>
          <w:tcPr>
            <w:tcW w:w="1135" w:type="pct"/>
            <w:noWrap w:val="0"/>
            <w:vAlign w:val="center"/>
          </w:tcPr>
          <w:p w14:paraId="67788FA0">
            <w:pPr>
              <w:pageBreakBefore w:val="0"/>
              <w:kinsoku/>
              <w:overflowPunct/>
              <w:topLinePunct w:val="0"/>
              <w:bidi w:val="0"/>
              <w:spacing w:line="360" w:lineRule="auto"/>
              <w:jc w:val="center"/>
              <w:rPr>
                <w:rFonts w:eastAsia="黑体"/>
                <w:bCs/>
                <w:color w:val="auto"/>
                <w:sz w:val="24"/>
                <w:highlight w:val="none"/>
              </w:rPr>
            </w:pPr>
            <w:r>
              <w:rPr>
                <w:rFonts w:eastAsia="黑体"/>
                <w:bCs/>
                <w:color w:val="auto"/>
                <w:sz w:val="24"/>
                <w:highlight w:val="none"/>
              </w:rPr>
              <w:t>备注</w:t>
            </w:r>
          </w:p>
        </w:tc>
      </w:tr>
      <w:tr w14:paraId="3DB3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1082A4E6">
            <w:pPr>
              <w:pageBreakBefore w:val="0"/>
              <w:kinsoku/>
              <w:overflowPunct/>
              <w:topLinePunct w:val="0"/>
              <w:bidi w:val="0"/>
              <w:spacing w:line="360" w:lineRule="auto"/>
              <w:rPr>
                <w:bCs/>
                <w:color w:val="auto"/>
                <w:sz w:val="24"/>
                <w:highlight w:val="none"/>
              </w:rPr>
            </w:pPr>
            <w:r>
              <w:rPr>
                <w:bCs/>
                <w:color w:val="auto"/>
                <w:sz w:val="24"/>
                <w:highlight w:val="none"/>
              </w:rPr>
              <w:t>1</w:t>
            </w:r>
          </w:p>
        </w:tc>
        <w:tc>
          <w:tcPr>
            <w:tcW w:w="1270" w:type="pct"/>
            <w:noWrap w:val="0"/>
            <w:vAlign w:val="center"/>
          </w:tcPr>
          <w:p w14:paraId="6E7540D2">
            <w:pPr>
              <w:pageBreakBefore w:val="0"/>
              <w:kinsoku/>
              <w:overflowPunct/>
              <w:topLinePunct w:val="0"/>
              <w:bidi w:val="0"/>
              <w:spacing w:line="360" w:lineRule="auto"/>
              <w:rPr>
                <w:bCs/>
                <w:color w:val="auto"/>
                <w:sz w:val="24"/>
                <w:highlight w:val="none"/>
              </w:rPr>
            </w:pPr>
          </w:p>
        </w:tc>
        <w:tc>
          <w:tcPr>
            <w:tcW w:w="1398" w:type="pct"/>
            <w:noWrap w:val="0"/>
            <w:vAlign w:val="center"/>
          </w:tcPr>
          <w:p w14:paraId="2FB80655">
            <w:pPr>
              <w:pageBreakBefore w:val="0"/>
              <w:kinsoku/>
              <w:overflowPunct/>
              <w:topLinePunct w:val="0"/>
              <w:bidi w:val="0"/>
              <w:spacing w:line="360" w:lineRule="auto"/>
              <w:rPr>
                <w:bCs/>
                <w:color w:val="auto"/>
                <w:sz w:val="24"/>
                <w:highlight w:val="none"/>
              </w:rPr>
            </w:pPr>
          </w:p>
        </w:tc>
        <w:tc>
          <w:tcPr>
            <w:tcW w:w="788" w:type="pct"/>
            <w:noWrap w:val="0"/>
            <w:vAlign w:val="center"/>
          </w:tcPr>
          <w:p w14:paraId="4CFB07C4">
            <w:pPr>
              <w:pageBreakBefore w:val="0"/>
              <w:kinsoku/>
              <w:overflowPunct/>
              <w:topLinePunct w:val="0"/>
              <w:bidi w:val="0"/>
              <w:spacing w:line="360" w:lineRule="auto"/>
              <w:rPr>
                <w:bCs/>
                <w:color w:val="auto"/>
                <w:sz w:val="24"/>
                <w:highlight w:val="none"/>
              </w:rPr>
            </w:pPr>
          </w:p>
        </w:tc>
        <w:tc>
          <w:tcPr>
            <w:tcW w:w="1135" w:type="pct"/>
            <w:noWrap w:val="0"/>
            <w:vAlign w:val="center"/>
          </w:tcPr>
          <w:p w14:paraId="56D6C263">
            <w:pPr>
              <w:pageBreakBefore w:val="0"/>
              <w:kinsoku/>
              <w:overflowPunct/>
              <w:topLinePunct w:val="0"/>
              <w:bidi w:val="0"/>
              <w:spacing w:line="360" w:lineRule="auto"/>
              <w:jc w:val="center"/>
              <w:rPr>
                <w:bCs/>
                <w:color w:val="auto"/>
                <w:sz w:val="24"/>
                <w:highlight w:val="none"/>
              </w:rPr>
            </w:pPr>
          </w:p>
        </w:tc>
      </w:tr>
      <w:tr w14:paraId="03FD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481EAFD">
            <w:pPr>
              <w:pageBreakBefore w:val="0"/>
              <w:kinsoku/>
              <w:overflowPunct/>
              <w:topLinePunct w:val="0"/>
              <w:bidi w:val="0"/>
              <w:spacing w:line="360" w:lineRule="auto"/>
              <w:rPr>
                <w:bCs/>
                <w:color w:val="auto"/>
                <w:sz w:val="24"/>
                <w:highlight w:val="none"/>
              </w:rPr>
            </w:pPr>
            <w:r>
              <w:rPr>
                <w:bCs/>
                <w:color w:val="auto"/>
                <w:sz w:val="24"/>
                <w:highlight w:val="none"/>
              </w:rPr>
              <w:t>2</w:t>
            </w:r>
          </w:p>
        </w:tc>
        <w:tc>
          <w:tcPr>
            <w:tcW w:w="1270" w:type="pct"/>
            <w:noWrap w:val="0"/>
            <w:vAlign w:val="center"/>
          </w:tcPr>
          <w:p w14:paraId="32BE066B">
            <w:pPr>
              <w:pageBreakBefore w:val="0"/>
              <w:kinsoku/>
              <w:overflowPunct/>
              <w:topLinePunct w:val="0"/>
              <w:bidi w:val="0"/>
              <w:spacing w:line="360" w:lineRule="auto"/>
              <w:rPr>
                <w:bCs/>
                <w:color w:val="auto"/>
                <w:sz w:val="24"/>
                <w:highlight w:val="none"/>
              </w:rPr>
            </w:pPr>
          </w:p>
        </w:tc>
        <w:tc>
          <w:tcPr>
            <w:tcW w:w="1398" w:type="pct"/>
            <w:noWrap w:val="0"/>
            <w:vAlign w:val="center"/>
          </w:tcPr>
          <w:p w14:paraId="72F0778D">
            <w:pPr>
              <w:pageBreakBefore w:val="0"/>
              <w:kinsoku/>
              <w:overflowPunct/>
              <w:topLinePunct w:val="0"/>
              <w:bidi w:val="0"/>
              <w:spacing w:line="360" w:lineRule="auto"/>
              <w:rPr>
                <w:bCs/>
                <w:color w:val="auto"/>
                <w:sz w:val="24"/>
                <w:highlight w:val="none"/>
              </w:rPr>
            </w:pPr>
          </w:p>
        </w:tc>
        <w:tc>
          <w:tcPr>
            <w:tcW w:w="788" w:type="pct"/>
            <w:noWrap w:val="0"/>
            <w:vAlign w:val="center"/>
          </w:tcPr>
          <w:p w14:paraId="35DCE73F">
            <w:pPr>
              <w:pageBreakBefore w:val="0"/>
              <w:kinsoku/>
              <w:overflowPunct/>
              <w:topLinePunct w:val="0"/>
              <w:bidi w:val="0"/>
              <w:spacing w:line="360" w:lineRule="auto"/>
              <w:rPr>
                <w:bCs/>
                <w:color w:val="auto"/>
                <w:sz w:val="24"/>
                <w:highlight w:val="none"/>
              </w:rPr>
            </w:pPr>
          </w:p>
        </w:tc>
        <w:tc>
          <w:tcPr>
            <w:tcW w:w="1135" w:type="pct"/>
            <w:noWrap w:val="0"/>
            <w:vAlign w:val="center"/>
          </w:tcPr>
          <w:p w14:paraId="37318446">
            <w:pPr>
              <w:pageBreakBefore w:val="0"/>
              <w:kinsoku/>
              <w:overflowPunct/>
              <w:topLinePunct w:val="0"/>
              <w:bidi w:val="0"/>
              <w:spacing w:line="360" w:lineRule="auto"/>
              <w:jc w:val="center"/>
              <w:rPr>
                <w:bCs/>
                <w:color w:val="auto"/>
                <w:sz w:val="24"/>
                <w:highlight w:val="none"/>
              </w:rPr>
            </w:pPr>
          </w:p>
        </w:tc>
      </w:tr>
      <w:tr w14:paraId="01B71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7D211374">
            <w:pPr>
              <w:pageBreakBefore w:val="0"/>
              <w:kinsoku/>
              <w:overflowPunct/>
              <w:topLinePunct w:val="0"/>
              <w:bidi w:val="0"/>
              <w:spacing w:line="360" w:lineRule="auto"/>
              <w:rPr>
                <w:bCs/>
                <w:color w:val="auto"/>
                <w:sz w:val="24"/>
                <w:highlight w:val="none"/>
              </w:rPr>
            </w:pPr>
            <w:r>
              <w:rPr>
                <w:bCs/>
                <w:color w:val="auto"/>
                <w:sz w:val="24"/>
                <w:highlight w:val="none"/>
              </w:rPr>
              <w:t>3</w:t>
            </w:r>
          </w:p>
        </w:tc>
        <w:tc>
          <w:tcPr>
            <w:tcW w:w="1270" w:type="pct"/>
            <w:noWrap w:val="0"/>
            <w:vAlign w:val="center"/>
          </w:tcPr>
          <w:p w14:paraId="3B1C5508">
            <w:pPr>
              <w:pageBreakBefore w:val="0"/>
              <w:kinsoku/>
              <w:overflowPunct/>
              <w:topLinePunct w:val="0"/>
              <w:bidi w:val="0"/>
              <w:spacing w:line="360" w:lineRule="auto"/>
              <w:rPr>
                <w:bCs/>
                <w:color w:val="auto"/>
                <w:sz w:val="24"/>
                <w:highlight w:val="none"/>
              </w:rPr>
            </w:pPr>
          </w:p>
        </w:tc>
        <w:tc>
          <w:tcPr>
            <w:tcW w:w="1398" w:type="pct"/>
            <w:noWrap w:val="0"/>
            <w:vAlign w:val="center"/>
          </w:tcPr>
          <w:p w14:paraId="792159CE">
            <w:pPr>
              <w:pageBreakBefore w:val="0"/>
              <w:kinsoku/>
              <w:overflowPunct/>
              <w:topLinePunct w:val="0"/>
              <w:bidi w:val="0"/>
              <w:spacing w:line="360" w:lineRule="auto"/>
              <w:rPr>
                <w:bCs/>
                <w:color w:val="auto"/>
                <w:sz w:val="24"/>
                <w:highlight w:val="none"/>
              </w:rPr>
            </w:pPr>
          </w:p>
        </w:tc>
        <w:tc>
          <w:tcPr>
            <w:tcW w:w="788" w:type="pct"/>
            <w:noWrap w:val="0"/>
            <w:vAlign w:val="center"/>
          </w:tcPr>
          <w:p w14:paraId="373BDCB4">
            <w:pPr>
              <w:pageBreakBefore w:val="0"/>
              <w:kinsoku/>
              <w:overflowPunct/>
              <w:topLinePunct w:val="0"/>
              <w:bidi w:val="0"/>
              <w:spacing w:line="360" w:lineRule="auto"/>
              <w:rPr>
                <w:bCs/>
                <w:color w:val="auto"/>
                <w:sz w:val="24"/>
                <w:highlight w:val="none"/>
              </w:rPr>
            </w:pPr>
          </w:p>
        </w:tc>
        <w:tc>
          <w:tcPr>
            <w:tcW w:w="1135" w:type="pct"/>
            <w:noWrap w:val="0"/>
            <w:vAlign w:val="center"/>
          </w:tcPr>
          <w:p w14:paraId="31D9B215">
            <w:pPr>
              <w:pageBreakBefore w:val="0"/>
              <w:kinsoku/>
              <w:overflowPunct/>
              <w:topLinePunct w:val="0"/>
              <w:bidi w:val="0"/>
              <w:spacing w:line="360" w:lineRule="auto"/>
              <w:jc w:val="center"/>
              <w:rPr>
                <w:bCs/>
                <w:color w:val="auto"/>
                <w:sz w:val="24"/>
                <w:highlight w:val="none"/>
              </w:rPr>
            </w:pPr>
          </w:p>
        </w:tc>
      </w:tr>
      <w:tr w14:paraId="729AD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AEDB4AF">
            <w:pPr>
              <w:pageBreakBefore w:val="0"/>
              <w:kinsoku/>
              <w:overflowPunct/>
              <w:topLinePunct w:val="0"/>
              <w:bidi w:val="0"/>
              <w:spacing w:line="360" w:lineRule="auto"/>
              <w:rPr>
                <w:bCs/>
                <w:color w:val="auto"/>
                <w:sz w:val="24"/>
                <w:highlight w:val="none"/>
              </w:rPr>
            </w:pPr>
            <w:r>
              <w:rPr>
                <w:bCs/>
                <w:color w:val="auto"/>
                <w:sz w:val="24"/>
                <w:highlight w:val="none"/>
              </w:rPr>
              <w:t>4</w:t>
            </w:r>
          </w:p>
        </w:tc>
        <w:tc>
          <w:tcPr>
            <w:tcW w:w="1270" w:type="pct"/>
            <w:noWrap w:val="0"/>
            <w:vAlign w:val="center"/>
          </w:tcPr>
          <w:p w14:paraId="6065456E">
            <w:pPr>
              <w:pageBreakBefore w:val="0"/>
              <w:kinsoku/>
              <w:overflowPunct/>
              <w:topLinePunct w:val="0"/>
              <w:bidi w:val="0"/>
              <w:spacing w:line="360" w:lineRule="auto"/>
              <w:rPr>
                <w:bCs/>
                <w:color w:val="auto"/>
                <w:sz w:val="24"/>
                <w:highlight w:val="none"/>
              </w:rPr>
            </w:pPr>
          </w:p>
        </w:tc>
        <w:tc>
          <w:tcPr>
            <w:tcW w:w="1398" w:type="pct"/>
            <w:noWrap w:val="0"/>
            <w:vAlign w:val="center"/>
          </w:tcPr>
          <w:p w14:paraId="19BF0DDE">
            <w:pPr>
              <w:pageBreakBefore w:val="0"/>
              <w:kinsoku/>
              <w:overflowPunct/>
              <w:topLinePunct w:val="0"/>
              <w:bidi w:val="0"/>
              <w:spacing w:line="360" w:lineRule="auto"/>
              <w:rPr>
                <w:bCs/>
                <w:color w:val="auto"/>
                <w:sz w:val="24"/>
                <w:highlight w:val="none"/>
              </w:rPr>
            </w:pPr>
          </w:p>
        </w:tc>
        <w:tc>
          <w:tcPr>
            <w:tcW w:w="788" w:type="pct"/>
            <w:noWrap w:val="0"/>
            <w:vAlign w:val="center"/>
          </w:tcPr>
          <w:p w14:paraId="3461ABE8">
            <w:pPr>
              <w:pageBreakBefore w:val="0"/>
              <w:kinsoku/>
              <w:overflowPunct/>
              <w:topLinePunct w:val="0"/>
              <w:bidi w:val="0"/>
              <w:spacing w:line="360" w:lineRule="auto"/>
              <w:rPr>
                <w:bCs/>
                <w:color w:val="auto"/>
                <w:sz w:val="24"/>
                <w:highlight w:val="none"/>
              </w:rPr>
            </w:pPr>
          </w:p>
        </w:tc>
        <w:tc>
          <w:tcPr>
            <w:tcW w:w="1135" w:type="pct"/>
            <w:noWrap w:val="0"/>
            <w:vAlign w:val="center"/>
          </w:tcPr>
          <w:p w14:paraId="2AF45507">
            <w:pPr>
              <w:pageBreakBefore w:val="0"/>
              <w:kinsoku/>
              <w:overflowPunct/>
              <w:topLinePunct w:val="0"/>
              <w:bidi w:val="0"/>
              <w:spacing w:line="360" w:lineRule="auto"/>
              <w:jc w:val="center"/>
              <w:rPr>
                <w:bCs/>
                <w:color w:val="auto"/>
                <w:sz w:val="24"/>
                <w:highlight w:val="none"/>
              </w:rPr>
            </w:pPr>
          </w:p>
        </w:tc>
      </w:tr>
      <w:tr w14:paraId="703CE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5659B6A6">
            <w:pPr>
              <w:pageBreakBefore w:val="0"/>
              <w:kinsoku/>
              <w:overflowPunct/>
              <w:topLinePunct w:val="0"/>
              <w:bidi w:val="0"/>
              <w:spacing w:line="360" w:lineRule="auto"/>
              <w:rPr>
                <w:bCs/>
                <w:color w:val="auto"/>
                <w:sz w:val="24"/>
                <w:highlight w:val="none"/>
              </w:rPr>
            </w:pPr>
            <w:r>
              <w:rPr>
                <w:bCs/>
                <w:color w:val="auto"/>
                <w:sz w:val="24"/>
                <w:highlight w:val="none"/>
              </w:rPr>
              <w:t>5</w:t>
            </w:r>
          </w:p>
        </w:tc>
        <w:tc>
          <w:tcPr>
            <w:tcW w:w="1270" w:type="pct"/>
            <w:noWrap w:val="0"/>
            <w:vAlign w:val="center"/>
          </w:tcPr>
          <w:p w14:paraId="646B3780">
            <w:pPr>
              <w:pageBreakBefore w:val="0"/>
              <w:kinsoku/>
              <w:overflowPunct/>
              <w:topLinePunct w:val="0"/>
              <w:bidi w:val="0"/>
              <w:spacing w:line="360" w:lineRule="auto"/>
              <w:rPr>
                <w:bCs/>
                <w:color w:val="auto"/>
                <w:sz w:val="24"/>
                <w:highlight w:val="none"/>
              </w:rPr>
            </w:pPr>
          </w:p>
        </w:tc>
        <w:tc>
          <w:tcPr>
            <w:tcW w:w="1398" w:type="pct"/>
            <w:noWrap w:val="0"/>
            <w:vAlign w:val="center"/>
          </w:tcPr>
          <w:p w14:paraId="22A0DA31">
            <w:pPr>
              <w:pageBreakBefore w:val="0"/>
              <w:kinsoku/>
              <w:overflowPunct/>
              <w:topLinePunct w:val="0"/>
              <w:bidi w:val="0"/>
              <w:spacing w:line="360" w:lineRule="auto"/>
              <w:rPr>
                <w:bCs/>
                <w:color w:val="auto"/>
                <w:sz w:val="24"/>
                <w:highlight w:val="none"/>
              </w:rPr>
            </w:pPr>
          </w:p>
        </w:tc>
        <w:tc>
          <w:tcPr>
            <w:tcW w:w="788" w:type="pct"/>
            <w:noWrap w:val="0"/>
            <w:vAlign w:val="center"/>
          </w:tcPr>
          <w:p w14:paraId="4259A014">
            <w:pPr>
              <w:pageBreakBefore w:val="0"/>
              <w:kinsoku/>
              <w:overflowPunct/>
              <w:topLinePunct w:val="0"/>
              <w:bidi w:val="0"/>
              <w:spacing w:line="360" w:lineRule="auto"/>
              <w:rPr>
                <w:bCs/>
                <w:color w:val="auto"/>
                <w:sz w:val="24"/>
                <w:highlight w:val="none"/>
              </w:rPr>
            </w:pPr>
          </w:p>
        </w:tc>
        <w:tc>
          <w:tcPr>
            <w:tcW w:w="1135" w:type="pct"/>
            <w:noWrap w:val="0"/>
            <w:vAlign w:val="center"/>
          </w:tcPr>
          <w:p w14:paraId="023D4692">
            <w:pPr>
              <w:pageBreakBefore w:val="0"/>
              <w:kinsoku/>
              <w:overflowPunct/>
              <w:topLinePunct w:val="0"/>
              <w:bidi w:val="0"/>
              <w:spacing w:line="360" w:lineRule="auto"/>
              <w:jc w:val="center"/>
              <w:rPr>
                <w:bCs/>
                <w:color w:val="auto"/>
                <w:sz w:val="24"/>
                <w:highlight w:val="none"/>
              </w:rPr>
            </w:pPr>
          </w:p>
        </w:tc>
      </w:tr>
      <w:tr w14:paraId="7D3A7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F07B9E7">
            <w:pPr>
              <w:pageBreakBefore w:val="0"/>
              <w:kinsoku/>
              <w:overflowPunct/>
              <w:topLinePunct w:val="0"/>
              <w:bidi w:val="0"/>
              <w:spacing w:line="360" w:lineRule="auto"/>
              <w:rPr>
                <w:bCs/>
                <w:color w:val="auto"/>
                <w:sz w:val="24"/>
                <w:highlight w:val="none"/>
              </w:rPr>
            </w:pPr>
            <w:r>
              <w:rPr>
                <w:bCs/>
                <w:color w:val="auto"/>
                <w:sz w:val="24"/>
                <w:highlight w:val="none"/>
              </w:rPr>
              <w:t>6</w:t>
            </w:r>
          </w:p>
        </w:tc>
        <w:tc>
          <w:tcPr>
            <w:tcW w:w="1270" w:type="pct"/>
            <w:noWrap w:val="0"/>
            <w:vAlign w:val="center"/>
          </w:tcPr>
          <w:p w14:paraId="18352A70">
            <w:pPr>
              <w:pageBreakBefore w:val="0"/>
              <w:kinsoku/>
              <w:overflowPunct/>
              <w:topLinePunct w:val="0"/>
              <w:bidi w:val="0"/>
              <w:spacing w:line="360" w:lineRule="auto"/>
              <w:rPr>
                <w:bCs/>
                <w:color w:val="auto"/>
                <w:sz w:val="24"/>
                <w:highlight w:val="none"/>
              </w:rPr>
            </w:pPr>
          </w:p>
        </w:tc>
        <w:tc>
          <w:tcPr>
            <w:tcW w:w="1398" w:type="pct"/>
            <w:noWrap w:val="0"/>
            <w:vAlign w:val="center"/>
          </w:tcPr>
          <w:p w14:paraId="55A30627">
            <w:pPr>
              <w:pageBreakBefore w:val="0"/>
              <w:kinsoku/>
              <w:overflowPunct/>
              <w:topLinePunct w:val="0"/>
              <w:bidi w:val="0"/>
              <w:spacing w:line="360" w:lineRule="auto"/>
              <w:rPr>
                <w:bCs/>
                <w:color w:val="auto"/>
                <w:sz w:val="24"/>
                <w:highlight w:val="none"/>
              </w:rPr>
            </w:pPr>
          </w:p>
        </w:tc>
        <w:tc>
          <w:tcPr>
            <w:tcW w:w="788" w:type="pct"/>
            <w:noWrap w:val="0"/>
            <w:vAlign w:val="center"/>
          </w:tcPr>
          <w:p w14:paraId="19D35730">
            <w:pPr>
              <w:pageBreakBefore w:val="0"/>
              <w:kinsoku/>
              <w:overflowPunct/>
              <w:topLinePunct w:val="0"/>
              <w:bidi w:val="0"/>
              <w:spacing w:line="360" w:lineRule="auto"/>
              <w:rPr>
                <w:bCs/>
                <w:color w:val="auto"/>
                <w:sz w:val="24"/>
                <w:highlight w:val="none"/>
              </w:rPr>
            </w:pPr>
          </w:p>
        </w:tc>
        <w:tc>
          <w:tcPr>
            <w:tcW w:w="1135" w:type="pct"/>
            <w:noWrap w:val="0"/>
            <w:vAlign w:val="center"/>
          </w:tcPr>
          <w:p w14:paraId="284ADA46">
            <w:pPr>
              <w:pageBreakBefore w:val="0"/>
              <w:kinsoku/>
              <w:overflowPunct/>
              <w:topLinePunct w:val="0"/>
              <w:bidi w:val="0"/>
              <w:spacing w:line="360" w:lineRule="auto"/>
              <w:jc w:val="center"/>
              <w:rPr>
                <w:bCs/>
                <w:color w:val="auto"/>
                <w:sz w:val="24"/>
                <w:highlight w:val="none"/>
              </w:rPr>
            </w:pPr>
          </w:p>
        </w:tc>
      </w:tr>
      <w:tr w14:paraId="0897E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09C7F775">
            <w:pPr>
              <w:pageBreakBefore w:val="0"/>
              <w:kinsoku/>
              <w:overflowPunct/>
              <w:topLinePunct w:val="0"/>
              <w:bidi w:val="0"/>
              <w:spacing w:line="360" w:lineRule="auto"/>
              <w:rPr>
                <w:bCs/>
                <w:color w:val="auto"/>
                <w:sz w:val="24"/>
                <w:highlight w:val="none"/>
              </w:rPr>
            </w:pPr>
            <w:r>
              <w:rPr>
                <w:bCs/>
                <w:color w:val="auto"/>
                <w:sz w:val="24"/>
                <w:highlight w:val="none"/>
              </w:rPr>
              <w:t>7</w:t>
            </w:r>
          </w:p>
        </w:tc>
        <w:tc>
          <w:tcPr>
            <w:tcW w:w="1270" w:type="pct"/>
            <w:noWrap w:val="0"/>
            <w:vAlign w:val="center"/>
          </w:tcPr>
          <w:p w14:paraId="73340412">
            <w:pPr>
              <w:pageBreakBefore w:val="0"/>
              <w:kinsoku/>
              <w:overflowPunct/>
              <w:topLinePunct w:val="0"/>
              <w:bidi w:val="0"/>
              <w:spacing w:line="360" w:lineRule="auto"/>
              <w:rPr>
                <w:bCs/>
                <w:color w:val="auto"/>
                <w:sz w:val="24"/>
                <w:highlight w:val="none"/>
              </w:rPr>
            </w:pPr>
          </w:p>
        </w:tc>
        <w:tc>
          <w:tcPr>
            <w:tcW w:w="1398" w:type="pct"/>
            <w:noWrap w:val="0"/>
            <w:vAlign w:val="center"/>
          </w:tcPr>
          <w:p w14:paraId="53933F81">
            <w:pPr>
              <w:pageBreakBefore w:val="0"/>
              <w:kinsoku/>
              <w:overflowPunct/>
              <w:topLinePunct w:val="0"/>
              <w:bidi w:val="0"/>
              <w:spacing w:line="360" w:lineRule="auto"/>
              <w:rPr>
                <w:bCs/>
                <w:color w:val="auto"/>
                <w:sz w:val="24"/>
                <w:highlight w:val="none"/>
              </w:rPr>
            </w:pPr>
          </w:p>
        </w:tc>
        <w:tc>
          <w:tcPr>
            <w:tcW w:w="788" w:type="pct"/>
            <w:noWrap w:val="0"/>
            <w:vAlign w:val="center"/>
          </w:tcPr>
          <w:p w14:paraId="0CDADB6E">
            <w:pPr>
              <w:pageBreakBefore w:val="0"/>
              <w:kinsoku/>
              <w:overflowPunct/>
              <w:topLinePunct w:val="0"/>
              <w:bidi w:val="0"/>
              <w:spacing w:line="360" w:lineRule="auto"/>
              <w:rPr>
                <w:bCs/>
                <w:color w:val="auto"/>
                <w:sz w:val="24"/>
                <w:highlight w:val="none"/>
              </w:rPr>
            </w:pPr>
          </w:p>
        </w:tc>
        <w:tc>
          <w:tcPr>
            <w:tcW w:w="1135" w:type="pct"/>
            <w:noWrap w:val="0"/>
            <w:vAlign w:val="center"/>
          </w:tcPr>
          <w:p w14:paraId="3979332A">
            <w:pPr>
              <w:pageBreakBefore w:val="0"/>
              <w:kinsoku/>
              <w:overflowPunct/>
              <w:topLinePunct w:val="0"/>
              <w:bidi w:val="0"/>
              <w:spacing w:line="360" w:lineRule="auto"/>
              <w:jc w:val="center"/>
              <w:rPr>
                <w:bCs/>
                <w:color w:val="auto"/>
                <w:sz w:val="24"/>
                <w:highlight w:val="none"/>
              </w:rPr>
            </w:pPr>
          </w:p>
        </w:tc>
      </w:tr>
      <w:tr w14:paraId="5C9C8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3" w:hRule="atLeast"/>
          <w:jc w:val="center"/>
        </w:trPr>
        <w:tc>
          <w:tcPr>
            <w:tcW w:w="408" w:type="pct"/>
            <w:noWrap w:val="0"/>
            <w:vAlign w:val="center"/>
          </w:tcPr>
          <w:p w14:paraId="68F03351">
            <w:pPr>
              <w:pageBreakBefore w:val="0"/>
              <w:kinsoku/>
              <w:overflowPunct/>
              <w:topLinePunct w:val="0"/>
              <w:bidi w:val="0"/>
              <w:spacing w:line="360" w:lineRule="auto"/>
              <w:rPr>
                <w:bCs/>
                <w:color w:val="auto"/>
                <w:sz w:val="24"/>
                <w:highlight w:val="none"/>
              </w:rPr>
            </w:pPr>
            <w:r>
              <w:rPr>
                <w:bCs/>
                <w:color w:val="auto"/>
                <w:sz w:val="24"/>
                <w:highlight w:val="none"/>
              </w:rPr>
              <w:t>…</w:t>
            </w:r>
          </w:p>
        </w:tc>
        <w:tc>
          <w:tcPr>
            <w:tcW w:w="1270" w:type="pct"/>
            <w:noWrap w:val="0"/>
            <w:vAlign w:val="center"/>
          </w:tcPr>
          <w:p w14:paraId="47682366">
            <w:pPr>
              <w:pageBreakBefore w:val="0"/>
              <w:kinsoku/>
              <w:overflowPunct/>
              <w:topLinePunct w:val="0"/>
              <w:bidi w:val="0"/>
              <w:spacing w:line="360" w:lineRule="auto"/>
              <w:rPr>
                <w:bCs/>
                <w:color w:val="auto"/>
                <w:sz w:val="24"/>
                <w:highlight w:val="none"/>
              </w:rPr>
            </w:pPr>
          </w:p>
        </w:tc>
        <w:tc>
          <w:tcPr>
            <w:tcW w:w="1398" w:type="pct"/>
            <w:noWrap w:val="0"/>
            <w:vAlign w:val="center"/>
          </w:tcPr>
          <w:p w14:paraId="52D78ACF">
            <w:pPr>
              <w:pageBreakBefore w:val="0"/>
              <w:kinsoku/>
              <w:overflowPunct/>
              <w:topLinePunct w:val="0"/>
              <w:bidi w:val="0"/>
              <w:spacing w:line="360" w:lineRule="auto"/>
              <w:rPr>
                <w:bCs/>
                <w:color w:val="auto"/>
                <w:sz w:val="24"/>
                <w:highlight w:val="none"/>
              </w:rPr>
            </w:pPr>
          </w:p>
        </w:tc>
        <w:tc>
          <w:tcPr>
            <w:tcW w:w="788" w:type="pct"/>
            <w:noWrap w:val="0"/>
            <w:vAlign w:val="center"/>
          </w:tcPr>
          <w:p w14:paraId="2AA6A9DF">
            <w:pPr>
              <w:pageBreakBefore w:val="0"/>
              <w:kinsoku/>
              <w:overflowPunct/>
              <w:topLinePunct w:val="0"/>
              <w:bidi w:val="0"/>
              <w:spacing w:line="360" w:lineRule="auto"/>
              <w:rPr>
                <w:bCs/>
                <w:color w:val="auto"/>
                <w:sz w:val="24"/>
                <w:highlight w:val="none"/>
              </w:rPr>
            </w:pPr>
          </w:p>
        </w:tc>
        <w:tc>
          <w:tcPr>
            <w:tcW w:w="1135" w:type="pct"/>
            <w:noWrap w:val="0"/>
            <w:vAlign w:val="center"/>
          </w:tcPr>
          <w:p w14:paraId="66C746C8">
            <w:pPr>
              <w:pageBreakBefore w:val="0"/>
              <w:kinsoku/>
              <w:overflowPunct/>
              <w:topLinePunct w:val="0"/>
              <w:bidi w:val="0"/>
              <w:spacing w:line="360" w:lineRule="auto"/>
              <w:jc w:val="center"/>
              <w:rPr>
                <w:bCs/>
                <w:color w:val="auto"/>
                <w:sz w:val="24"/>
                <w:highlight w:val="none"/>
              </w:rPr>
            </w:pPr>
          </w:p>
        </w:tc>
      </w:tr>
    </w:tbl>
    <w:p w14:paraId="72C03DCD">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说明：</w:t>
      </w:r>
    </w:p>
    <w:p w14:paraId="5E54763F">
      <w:pPr>
        <w:pageBreakBefore w:val="0"/>
        <w:kinsoku/>
        <w:overflowPunct/>
        <w:topLinePunct w:val="0"/>
        <w:bidi w:val="0"/>
        <w:spacing w:line="360" w:lineRule="auto"/>
        <w:ind w:firstLine="480" w:firstLineChars="200"/>
        <w:rPr>
          <w:rFonts w:ascii="Times New Roman" w:hAnsi="Times New Roman"/>
          <w:b/>
          <w:bCs/>
          <w:color w:val="auto"/>
          <w:sz w:val="24"/>
          <w:szCs w:val="24"/>
          <w:highlight w:val="none"/>
        </w:rPr>
      </w:pPr>
      <w:r>
        <w:rPr>
          <w:rFonts w:hint="eastAsia" w:ascii="Times New Roman" w:hAnsi="Times New Roman"/>
          <w:color w:val="auto"/>
          <w:sz w:val="24"/>
          <w:szCs w:val="24"/>
          <w:highlight w:val="none"/>
          <w:lang w:val="en-US" w:eastAsia="zh-CN"/>
        </w:rPr>
        <w:t>1</w:t>
      </w:r>
      <w:r>
        <w:rPr>
          <w:rFonts w:ascii="宋体" w:hAnsi="宋体"/>
          <w:color w:val="auto"/>
          <w:sz w:val="24"/>
          <w:szCs w:val="24"/>
          <w:highlight w:val="none"/>
        </w:rPr>
        <w:t>.</w:t>
      </w:r>
      <w:r>
        <w:rPr>
          <w:rFonts w:ascii="Times New Roman" w:hAnsi="Times New Roman"/>
          <w:color w:val="auto"/>
          <w:sz w:val="24"/>
          <w:szCs w:val="24"/>
          <w:highlight w:val="none"/>
        </w:rPr>
        <w:t>应对照磋商文件的要求，逐条说明所提供服务已对磋商文件的服务要求做出了实质性的响应，并说明响应情况。特别对有具体数量要求的指标，供应商应提供具体数值。如果仅注明“符合”、“满足”或简单复制磋商文件要求，将导致响应文件无效。</w:t>
      </w:r>
    </w:p>
    <w:p w14:paraId="72A78DB8">
      <w:pPr>
        <w:pageBreakBefore w:val="0"/>
        <w:kinsoku/>
        <w:overflowPunct/>
        <w:topLinePunct w:val="0"/>
        <w:bidi w:val="0"/>
        <w:spacing w:line="360" w:lineRule="auto"/>
        <w:rPr>
          <w:rFonts w:ascii="Times New Roman" w:hAnsi="Times New Roman"/>
          <w:color w:val="auto"/>
          <w:sz w:val="24"/>
          <w:szCs w:val="24"/>
          <w:highlight w:val="none"/>
        </w:rPr>
      </w:pPr>
    </w:p>
    <w:p w14:paraId="5F7DF6EA">
      <w:pPr>
        <w:pageBreakBefore w:val="0"/>
        <w:kinsoku/>
        <w:overflowPunct/>
        <w:topLinePunct w:val="0"/>
        <w:bidi w:val="0"/>
        <w:spacing w:line="360" w:lineRule="auto"/>
        <w:rPr>
          <w:rFonts w:ascii="Times New Roman" w:hAnsi="Times New Roman"/>
          <w:color w:val="auto"/>
          <w:sz w:val="24"/>
          <w:szCs w:val="24"/>
          <w:highlight w:val="none"/>
          <w:u w:val="single"/>
        </w:rPr>
      </w:pPr>
      <w:r>
        <w:rPr>
          <w:rFonts w:ascii="Times New Roman" w:hAnsi="Times New Roman"/>
          <w:color w:val="auto"/>
          <w:sz w:val="24"/>
          <w:szCs w:val="24"/>
          <w:highlight w:val="none"/>
        </w:rPr>
        <w:t>供应商名称（公章）：</w:t>
      </w:r>
    </w:p>
    <w:p w14:paraId="1895C22B">
      <w:pPr>
        <w:pageBreakBefore w:val="0"/>
        <w:kinsoku/>
        <w:overflowPunct/>
        <w:topLinePunct w:val="0"/>
        <w:bidi w:val="0"/>
        <w:spacing w:line="360" w:lineRule="auto"/>
        <w:rPr>
          <w:rFonts w:ascii="Times New Roman" w:hAnsi="Times New Roman"/>
          <w:color w:val="auto"/>
          <w:sz w:val="24"/>
          <w:szCs w:val="24"/>
          <w:highlight w:val="none"/>
        </w:rPr>
      </w:pPr>
      <w:r>
        <w:rPr>
          <w:rFonts w:ascii="Times New Roman" w:hAnsi="Times New Roman"/>
          <w:color w:val="auto"/>
          <w:sz w:val="24"/>
          <w:szCs w:val="24"/>
          <w:highlight w:val="none"/>
        </w:rPr>
        <w:t>时间：</w:t>
      </w:r>
    </w:p>
    <w:p w14:paraId="6E728DDC">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szCs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七</w:t>
      </w:r>
    </w:p>
    <w:p w14:paraId="216A1BCC">
      <w:pPr>
        <w:pageBreakBefore w:val="0"/>
        <w:kinsoku/>
        <w:overflowPunct/>
        <w:topLinePunct w:val="0"/>
        <w:bidi w:val="0"/>
        <w:adjustRightInd w:val="0"/>
        <w:snapToGrid w:val="0"/>
        <w:spacing w:beforeLines="50" w:line="360" w:lineRule="auto"/>
        <w:jc w:val="center"/>
        <w:outlineLvl w:val="0"/>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法人（负责人）代表授权书</w:t>
      </w:r>
    </w:p>
    <w:p w14:paraId="284B854E">
      <w:pPr>
        <w:pageBreakBefore w:val="0"/>
        <w:kinsoku/>
        <w:overflowPunct/>
        <w:topLinePunct w:val="0"/>
        <w:bidi w:val="0"/>
        <w:spacing w:beforeLines="50" w:afterLines="100" w:line="360" w:lineRule="auto"/>
        <w:rPr>
          <w:rFonts w:ascii="Times New Roman" w:hAnsi="Times New Roman"/>
          <w:color w:val="auto"/>
          <w:sz w:val="24"/>
          <w:szCs w:val="24"/>
          <w:highlight w:val="none"/>
        </w:rPr>
      </w:pPr>
    </w:p>
    <w:p w14:paraId="2B813E00">
      <w:pPr>
        <w:pageBreakBefore w:val="0"/>
        <w:kinsoku/>
        <w:overflowPunct/>
        <w:topLinePunct w:val="0"/>
        <w:bidi w:val="0"/>
        <w:spacing w:line="360" w:lineRule="auto"/>
        <w:rPr>
          <w:rFonts w:ascii="Times New Roman" w:hAnsi="Times New Roman"/>
          <w:bCs/>
          <w:color w:val="auto"/>
          <w:sz w:val="24"/>
          <w:szCs w:val="24"/>
          <w:highlight w:val="none"/>
        </w:rPr>
      </w:pPr>
      <w:r>
        <w:rPr>
          <w:rFonts w:ascii="Times New Roman" w:hAnsi="Times New Roman"/>
          <w:bCs/>
          <w:color w:val="auto"/>
          <w:sz w:val="24"/>
          <w:highlight w:val="none"/>
        </w:rPr>
        <w:t>（</w:t>
      </w:r>
      <w:r>
        <w:rPr>
          <w:rFonts w:hint="eastAsia" w:ascii="Times New Roman" w:hAnsi="Times New Roman"/>
          <w:bCs/>
          <w:color w:val="auto"/>
          <w:sz w:val="24"/>
          <w:highlight w:val="none"/>
          <w:lang w:eastAsia="zh-CN"/>
        </w:rPr>
        <w:t>分散采购</w:t>
      </w:r>
      <w:r>
        <w:rPr>
          <w:rFonts w:ascii="Times New Roman" w:hAnsi="Times New Roman"/>
          <w:bCs/>
          <w:color w:val="auto"/>
          <w:sz w:val="24"/>
          <w:highlight w:val="none"/>
        </w:rPr>
        <w:t>机构名称）</w:t>
      </w:r>
      <w:r>
        <w:rPr>
          <w:rFonts w:ascii="Times New Roman" w:hAnsi="Times New Roman"/>
          <w:bCs/>
          <w:color w:val="auto"/>
          <w:sz w:val="24"/>
          <w:szCs w:val="24"/>
          <w:highlight w:val="none"/>
        </w:rPr>
        <w:t>：</w:t>
      </w:r>
    </w:p>
    <w:p w14:paraId="17630BBC">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u w:val="single"/>
        </w:rPr>
        <w:t>（供应商名称）</w:t>
      </w:r>
      <w:r>
        <w:rPr>
          <w:rFonts w:ascii="Times New Roman" w:hAnsi="Times New Roman"/>
          <w:bCs/>
          <w:color w:val="auto"/>
          <w:sz w:val="24"/>
          <w:szCs w:val="24"/>
          <w:highlight w:val="none"/>
        </w:rPr>
        <w:t>在下面签字的（</w:t>
      </w:r>
      <w:r>
        <w:rPr>
          <w:rFonts w:ascii="Times New Roman" w:hAnsi="Times New Roman"/>
          <w:bCs/>
          <w:color w:val="auto"/>
          <w:sz w:val="24"/>
          <w:szCs w:val="24"/>
          <w:highlight w:val="none"/>
          <w:u w:val="single"/>
        </w:rPr>
        <w:t>法定代表人姓名、职务</w:t>
      </w:r>
      <w:r>
        <w:rPr>
          <w:rFonts w:ascii="Times New Roman" w:hAnsi="Times New Roman"/>
          <w:bCs/>
          <w:color w:val="auto"/>
          <w:sz w:val="24"/>
          <w:szCs w:val="24"/>
          <w:highlight w:val="none"/>
        </w:rPr>
        <w:t>）代表本公司授权（供应商名称）的下面签字的</w:t>
      </w:r>
      <w:r>
        <w:rPr>
          <w:rFonts w:ascii="Times New Roman" w:hAnsi="Times New Roman"/>
          <w:bCs/>
          <w:color w:val="auto"/>
          <w:sz w:val="24"/>
          <w:szCs w:val="24"/>
          <w:highlight w:val="none"/>
          <w:u w:val="single"/>
        </w:rPr>
        <w:t>（被授权代表的姓名、职务）</w:t>
      </w:r>
      <w:r>
        <w:rPr>
          <w:rFonts w:ascii="Times New Roman" w:hAnsi="Times New Roman"/>
          <w:bCs/>
          <w:color w:val="auto"/>
          <w:sz w:val="24"/>
          <w:szCs w:val="24"/>
          <w:highlight w:val="none"/>
        </w:rPr>
        <w:t>为本公司的合法代理人，就（</w:t>
      </w:r>
      <w:r>
        <w:rPr>
          <w:rFonts w:ascii="Times New Roman" w:hAnsi="Times New Roman"/>
          <w:bCs/>
          <w:color w:val="auto"/>
          <w:sz w:val="24"/>
          <w:szCs w:val="24"/>
          <w:highlight w:val="none"/>
          <w:u w:val="single"/>
        </w:rPr>
        <w:t>项目名称、项目编号</w:t>
      </w:r>
      <w:r>
        <w:rPr>
          <w:rFonts w:ascii="Times New Roman" w:hAnsi="Times New Roman"/>
          <w:bCs/>
          <w:color w:val="auto"/>
          <w:sz w:val="24"/>
          <w:szCs w:val="24"/>
          <w:highlight w:val="none"/>
        </w:rPr>
        <w:t>）的竞争性磋商，以本公司的名义处理一切与之有关的事务。</w:t>
      </w:r>
    </w:p>
    <w:p w14:paraId="56AEFF0B">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本授权书自年月日至年月日止签字有效。</w:t>
      </w:r>
    </w:p>
    <w:p w14:paraId="3086EF55">
      <w:pPr>
        <w:pageBreakBefore w:val="0"/>
        <w:kinsoku/>
        <w:overflowPunct/>
        <w:topLinePunct w:val="0"/>
        <w:bidi w:val="0"/>
        <w:spacing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特此声明。</w:t>
      </w:r>
    </w:p>
    <w:p w14:paraId="145A446D">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rPr>
      </w:pPr>
      <w:r>
        <w:rPr>
          <w:rFonts w:ascii="Times New Roman" w:hAnsi="Times New Roman"/>
          <w:bCs/>
          <w:color w:val="auto"/>
          <w:sz w:val="24"/>
          <w:szCs w:val="24"/>
          <w:highlight w:val="none"/>
        </w:rPr>
        <w:t>委托人名称（公章）：被授权人（签章）：</w:t>
      </w:r>
    </w:p>
    <w:p w14:paraId="3FCCB6BF">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法定（负责人）代表人（签章）：身份证号码：</w:t>
      </w:r>
    </w:p>
    <w:p w14:paraId="198E6010">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电话：电话（手机）：</w:t>
      </w:r>
    </w:p>
    <w:p w14:paraId="3DF2CB4E">
      <w:pPr>
        <w:pageBreakBefore w:val="0"/>
        <w:kinsoku/>
        <w:overflowPunct/>
        <w:topLinePunct w:val="0"/>
        <w:bidi w:val="0"/>
        <w:spacing w:beforeLines="100" w:after="100" w:afterAutospacing="1" w:line="360" w:lineRule="auto"/>
        <w:ind w:firstLine="480" w:firstLineChars="200"/>
        <w:rPr>
          <w:rFonts w:ascii="Times New Roman" w:hAnsi="Times New Roman"/>
          <w:bCs/>
          <w:color w:val="auto"/>
          <w:sz w:val="24"/>
          <w:szCs w:val="24"/>
          <w:highlight w:val="none"/>
          <w:u w:val="single"/>
        </w:rPr>
      </w:pPr>
      <w:r>
        <w:rPr>
          <w:rFonts w:ascii="Times New Roman" w:hAnsi="Times New Roman"/>
          <w:bCs/>
          <w:color w:val="auto"/>
          <w:sz w:val="24"/>
          <w:szCs w:val="24"/>
          <w:highlight w:val="none"/>
        </w:rPr>
        <w:t>传真：办公电话/传真：</w:t>
      </w:r>
    </w:p>
    <w:p w14:paraId="49CA5DB1">
      <w:pPr>
        <w:pageBreakBefore w:val="0"/>
        <w:kinsoku/>
        <w:overflowPunct/>
        <w:topLinePunct w:val="0"/>
        <w:bidi w:val="0"/>
        <w:spacing w:beforeLines="50" w:afterLines="100" w:line="360" w:lineRule="auto"/>
        <w:rPr>
          <w:rFonts w:ascii="Times New Roman" w:hAnsi="Times New Roman"/>
          <w:bCs/>
          <w:color w:val="auto"/>
          <w:sz w:val="24"/>
          <w:szCs w:val="24"/>
          <w:highlight w:val="none"/>
          <w:u w:val="single"/>
        </w:rPr>
      </w:pPr>
    </w:p>
    <w:tbl>
      <w:tblPr>
        <w:tblStyle w:val="30"/>
        <w:tblW w:w="91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3"/>
      </w:tblGrid>
      <w:tr w14:paraId="7E1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4" w:hRule="atLeast"/>
        </w:trPr>
        <w:tc>
          <w:tcPr>
            <w:tcW w:w="9123" w:type="dxa"/>
          </w:tcPr>
          <w:p w14:paraId="3AEEF6C9">
            <w:pPr>
              <w:pageBreakBefore w:val="0"/>
              <w:kinsoku/>
              <w:overflowPunct/>
              <w:topLinePunct w:val="0"/>
              <w:bidi w:val="0"/>
              <w:spacing w:beforeLines="50" w:afterLines="100" w:line="360" w:lineRule="auto"/>
              <w:rPr>
                <w:rFonts w:ascii="Times New Roman" w:hAnsi="Times New Roman"/>
                <w:bCs/>
                <w:color w:val="auto"/>
                <w:sz w:val="24"/>
                <w:szCs w:val="24"/>
                <w:highlight w:val="none"/>
              </w:rPr>
            </w:pPr>
            <w:r>
              <w:rPr>
                <w:rFonts w:ascii="Times New Roman" w:hAnsi="Times New Roman"/>
                <w:bCs/>
                <w:color w:val="auto"/>
                <w:sz w:val="24"/>
                <w:szCs w:val="24"/>
                <w:highlight w:val="none"/>
              </w:rPr>
              <w:t>粘贴被授权人身份证（复印件）</w:t>
            </w:r>
          </w:p>
        </w:tc>
      </w:tr>
    </w:tbl>
    <w:p w14:paraId="0C5F1486">
      <w:pPr>
        <w:pageBreakBefore w:val="0"/>
        <w:kinsoku/>
        <w:overflowPunct/>
        <w:topLinePunct w:val="0"/>
        <w:bidi w:val="0"/>
        <w:spacing w:line="360" w:lineRule="auto"/>
        <w:rPr>
          <w:rFonts w:ascii="Times New Roman" w:hAnsi="Times New Roman"/>
          <w:bCs/>
          <w:color w:val="auto"/>
          <w:sz w:val="24"/>
          <w:szCs w:val="24"/>
          <w:highlight w:val="none"/>
        </w:rPr>
      </w:pPr>
    </w:p>
    <w:p w14:paraId="0B3BBA0A">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szCs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八</w:t>
      </w:r>
    </w:p>
    <w:p w14:paraId="030BB731">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法人或者其他组织的营业执照等证明文件，自然人的</w:t>
      </w:r>
    </w:p>
    <w:p w14:paraId="0B83F04A">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身份证明等证明材料</w:t>
      </w:r>
    </w:p>
    <w:p w14:paraId="72FC2F15">
      <w:pPr>
        <w:pageBreakBefore w:val="0"/>
        <w:kinsoku/>
        <w:overflowPunct/>
        <w:topLinePunct w:val="0"/>
        <w:bidi w:val="0"/>
        <w:spacing w:line="360" w:lineRule="auto"/>
        <w:rPr>
          <w:rFonts w:ascii="Times New Roman" w:hAnsi="Times New Roman" w:eastAsia="仿宋_GB2312"/>
          <w:bCs/>
          <w:color w:val="auto"/>
          <w:szCs w:val="28"/>
          <w:highlight w:val="none"/>
        </w:rPr>
      </w:pPr>
    </w:p>
    <w:p w14:paraId="3741A167">
      <w:pPr>
        <w:pageBreakBefore w:val="0"/>
        <w:widowControl/>
        <w:kinsoku/>
        <w:overflowPunct/>
        <w:topLinePunct w:val="0"/>
        <w:bidi w:val="0"/>
        <w:spacing w:line="360" w:lineRule="auto"/>
        <w:jc w:val="left"/>
        <w:rPr>
          <w:rFonts w:ascii="Times New Roman" w:hAnsi="Times New Roman"/>
          <w:bCs/>
          <w:color w:val="auto"/>
          <w:sz w:val="24"/>
          <w:highlight w:val="none"/>
        </w:rPr>
      </w:pPr>
    </w:p>
    <w:p w14:paraId="30DE1901">
      <w:pPr>
        <w:pageBreakBefore w:val="0"/>
        <w:widowControl/>
        <w:kinsoku/>
        <w:overflowPunct/>
        <w:topLinePunct w:val="0"/>
        <w:bidi w:val="0"/>
        <w:spacing w:line="360" w:lineRule="auto"/>
        <w:jc w:val="left"/>
        <w:rPr>
          <w:rFonts w:ascii="Times New Roman" w:hAnsi="Times New Roman"/>
          <w:bCs/>
          <w:color w:val="auto"/>
          <w:sz w:val="24"/>
          <w:highlight w:val="none"/>
        </w:rPr>
      </w:pPr>
      <w:r>
        <w:rPr>
          <w:rFonts w:ascii="Times New Roman" w:hAnsi="Times New Roman"/>
          <w:bCs/>
          <w:color w:val="auto"/>
          <w:sz w:val="24"/>
          <w:highlight w:val="none"/>
        </w:rPr>
        <w:t>（企业法人营业执照、税务登记证，供应商是自然人的身份证明材料等）</w:t>
      </w:r>
    </w:p>
    <w:p w14:paraId="177B749E">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九</w:t>
      </w:r>
    </w:p>
    <w:p w14:paraId="0E87DDF2">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财务状况报告，依法缴纳税收和社会保障资金的</w:t>
      </w:r>
    </w:p>
    <w:p w14:paraId="6BC668FD">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相</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关</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0F2E3D2C">
      <w:pPr>
        <w:pageBreakBefore w:val="0"/>
        <w:kinsoku/>
        <w:overflowPunct/>
        <w:topLinePunct w:val="0"/>
        <w:bidi w:val="0"/>
        <w:spacing w:line="360" w:lineRule="auto"/>
        <w:rPr>
          <w:rFonts w:ascii="Times New Roman" w:hAnsi="Times New Roman" w:eastAsia="仿宋_GB2312"/>
          <w:bCs/>
          <w:color w:val="auto"/>
          <w:szCs w:val="28"/>
          <w:highlight w:val="none"/>
        </w:rPr>
      </w:pPr>
    </w:p>
    <w:p w14:paraId="70874719">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一、参加本采购项目前一年度的财务报表（企业成立时间不足一年不适用），或其他证明具备实施本项目的财务状况证明材料；</w:t>
      </w:r>
    </w:p>
    <w:p w14:paraId="4BAA5C51">
      <w:pPr>
        <w:pageBreakBefore w:val="0"/>
        <w:kinsoku/>
        <w:overflowPunct/>
        <w:topLinePunct w:val="0"/>
        <w:bidi w:val="0"/>
        <w:spacing w:line="360" w:lineRule="auto"/>
        <w:ind w:firstLine="480" w:firstLineChars="200"/>
        <w:rPr>
          <w:rFonts w:ascii="Times New Roman" w:hAnsi="Times New Roman"/>
          <w:bCs/>
          <w:color w:val="auto"/>
          <w:sz w:val="24"/>
          <w:highlight w:val="none"/>
        </w:rPr>
      </w:pPr>
      <w:r>
        <w:rPr>
          <w:rFonts w:ascii="Times New Roman" w:hAnsi="Times New Roman"/>
          <w:bCs/>
          <w:color w:val="auto"/>
          <w:sz w:val="24"/>
          <w:highlight w:val="none"/>
        </w:rPr>
        <w:t>二、参加本采购项目前，近期的纳税证明；</w:t>
      </w:r>
    </w:p>
    <w:p w14:paraId="6F1B3C9D">
      <w:pPr>
        <w:pageBreakBefore w:val="0"/>
        <w:kinsoku/>
        <w:overflowPunct/>
        <w:topLinePunct w:val="0"/>
        <w:bidi w:val="0"/>
        <w:spacing w:line="360" w:lineRule="auto"/>
        <w:ind w:left="2" w:leftChars="1" w:firstLine="480" w:firstLineChars="200"/>
        <w:rPr>
          <w:rFonts w:ascii="Times New Roman" w:hAnsi="Times New Roman"/>
          <w:bCs/>
          <w:color w:val="auto"/>
          <w:sz w:val="24"/>
          <w:highlight w:val="none"/>
        </w:rPr>
      </w:pPr>
      <w:r>
        <w:rPr>
          <w:rFonts w:ascii="Times New Roman" w:hAnsi="Times New Roman"/>
          <w:bCs/>
          <w:color w:val="auto"/>
          <w:sz w:val="24"/>
          <w:highlight w:val="none"/>
        </w:rPr>
        <w:t>三、参加本采购项目前，近期缴纳社会保障资金证明等。</w:t>
      </w:r>
      <w:r>
        <w:rPr>
          <w:rFonts w:ascii="Times New Roman" w:hAnsi="Times New Roman"/>
          <w:color w:val="auto"/>
          <w:szCs w:val="28"/>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w:t>
      </w:r>
    </w:p>
    <w:p w14:paraId="0636FD70">
      <w:pPr>
        <w:pageBreakBefore w:val="0"/>
        <w:kinsoku/>
        <w:overflowPunct/>
        <w:topLinePunct w:val="0"/>
        <w:bidi w:val="0"/>
        <w:spacing w:beforeLines="50"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具备履行合同所必需的设备和专业技术能力的</w:t>
      </w:r>
    </w:p>
    <w:p w14:paraId="19D3E1B6">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证</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明</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材</w:t>
      </w:r>
      <w:r>
        <w:rPr>
          <w:rFonts w:hint="eastAsia" w:ascii="Times New Roman" w:hAnsi="Times New Roman" w:eastAsia="方正小标宋简体"/>
          <w:bCs/>
          <w:color w:val="auto"/>
          <w:sz w:val="40"/>
          <w:szCs w:val="40"/>
          <w:highlight w:val="none"/>
        </w:rPr>
        <w:t xml:space="preserve"> </w:t>
      </w:r>
      <w:r>
        <w:rPr>
          <w:rFonts w:ascii="Times New Roman" w:hAnsi="Times New Roman" w:eastAsia="方正小标宋简体"/>
          <w:bCs/>
          <w:color w:val="auto"/>
          <w:sz w:val="40"/>
          <w:szCs w:val="40"/>
          <w:highlight w:val="none"/>
        </w:rPr>
        <w:t>料</w:t>
      </w:r>
    </w:p>
    <w:p w14:paraId="45EDCE88">
      <w:pPr>
        <w:pageBreakBefore w:val="0"/>
        <w:kinsoku/>
        <w:overflowPunct/>
        <w:topLinePunct w:val="0"/>
        <w:bidi w:val="0"/>
        <w:spacing w:line="360" w:lineRule="auto"/>
        <w:jc w:val="center"/>
        <w:rPr>
          <w:rFonts w:ascii="Times New Roman" w:hAnsi="Times New Roman" w:eastAsia="方正小标宋简体"/>
          <w:bCs/>
          <w:color w:val="auto"/>
          <w:sz w:val="40"/>
          <w:szCs w:val="40"/>
          <w:highlight w:val="none"/>
        </w:rPr>
      </w:pPr>
    </w:p>
    <w:p w14:paraId="1258597B">
      <w:pPr>
        <w:pageBreakBefore w:val="0"/>
        <w:kinsoku/>
        <w:overflowPunct/>
        <w:topLinePunct w:val="0"/>
        <w:bidi w:val="0"/>
        <w:spacing w:line="360" w:lineRule="auto"/>
        <w:jc w:val="center"/>
        <w:rPr>
          <w:rFonts w:ascii="Times New Roman" w:hAnsi="Times New Roman"/>
          <w:bCs/>
          <w:color w:val="auto"/>
          <w:sz w:val="24"/>
          <w:highlight w:val="none"/>
        </w:rPr>
      </w:pPr>
    </w:p>
    <w:p w14:paraId="0A02B2E1">
      <w:pPr>
        <w:pageBreakBefore w:val="0"/>
        <w:kinsoku/>
        <w:overflowPunct/>
        <w:topLinePunct w:val="0"/>
        <w:bidi w:val="0"/>
        <w:spacing w:line="360" w:lineRule="auto"/>
        <w:jc w:val="center"/>
        <w:rPr>
          <w:rFonts w:ascii="Times New Roman" w:hAnsi="Times New Roman"/>
          <w:bCs/>
          <w:color w:val="auto"/>
          <w:sz w:val="24"/>
          <w:highlight w:val="none"/>
        </w:rPr>
      </w:pPr>
      <w:r>
        <w:rPr>
          <w:rFonts w:ascii="Times New Roman" w:hAnsi="Times New Roman"/>
          <w:bCs/>
          <w:color w:val="auto"/>
          <w:sz w:val="24"/>
          <w:highlight w:val="none"/>
        </w:rPr>
        <w:t>（提供履行合同所必需的设备和专业技术能力的相关文件）</w:t>
      </w:r>
    </w:p>
    <w:p w14:paraId="053F72C5">
      <w:pPr>
        <w:pageBreakBefore w:val="0"/>
        <w:kinsoku/>
        <w:overflowPunct/>
        <w:topLinePunct w:val="0"/>
        <w:bidi w:val="0"/>
        <w:adjustRightInd w:val="0"/>
        <w:snapToGrid w:val="0"/>
        <w:spacing w:line="360" w:lineRule="auto"/>
        <w:outlineLvl w:val="0"/>
        <w:rPr>
          <w:rFonts w:ascii="楷体_GB2312" w:hAnsi="Times New Roman" w:eastAsia="楷体_GB2312"/>
          <w:color w:val="auto"/>
          <w:sz w:val="24"/>
          <w:highlight w:val="none"/>
        </w:rPr>
      </w:pPr>
      <w:r>
        <w:rPr>
          <w:rFonts w:ascii="Times New Roman" w:hAnsi="Times New Roman"/>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十一</w:t>
      </w:r>
    </w:p>
    <w:p w14:paraId="2FCF3EB6">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参加政府采购活动前3年内在经营活动中</w:t>
      </w:r>
    </w:p>
    <w:p w14:paraId="1D5E5024">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没有重大违法记录的书面声明</w:t>
      </w:r>
    </w:p>
    <w:p w14:paraId="65967D70">
      <w:pPr>
        <w:pageBreakBefore w:val="0"/>
        <w:kinsoku/>
        <w:overflowPunct/>
        <w:topLinePunct w:val="0"/>
        <w:bidi w:val="0"/>
        <w:spacing w:line="360" w:lineRule="auto"/>
        <w:jc w:val="center"/>
        <w:rPr>
          <w:rFonts w:ascii="Times New Roman" w:hAnsi="Times New Roman" w:eastAsia="仿宋_GB2312"/>
          <w:color w:val="auto"/>
          <w:sz w:val="24"/>
          <w:highlight w:val="none"/>
        </w:rPr>
      </w:pPr>
    </w:p>
    <w:p w14:paraId="735B0B7E">
      <w:pPr>
        <w:pageBreakBefore w:val="0"/>
        <w:kinsoku/>
        <w:overflowPunct/>
        <w:topLinePunct w:val="0"/>
        <w:bidi w:val="0"/>
        <w:spacing w:line="360" w:lineRule="auto"/>
        <w:jc w:val="center"/>
        <w:rPr>
          <w:rFonts w:ascii="Times New Roman" w:hAnsi="Times New Roman"/>
          <w:bCs/>
          <w:color w:val="auto"/>
          <w:sz w:val="32"/>
          <w:szCs w:val="32"/>
          <w:highlight w:val="none"/>
        </w:rPr>
      </w:pPr>
      <w:r>
        <w:rPr>
          <w:rFonts w:ascii="Times New Roman" w:hAnsi="Times New Roman"/>
          <w:color w:val="auto"/>
          <w:sz w:val="24"/>
          <w:highlight w:val="none"/>
        </w:rPr>
        <w:t>（供应商自行编写）</w:t>
      </w:r>
    </w:p>
    <w:p w14:paraId="1A84AB3D">
      <w:pPr>
        <w:pageBreakBefore w:val="0"/>
        <w:kinsoku/>
        <w:overflowPunct/>
        <w:topLinePunct w:val="0"/>
        <w:bidi w:val="0"/>
        <w:adjustRightInd w:val="0"/>
        <w:snapToGrid w:val="0"/>
        <w:spacing w:line="360" w:lineRule="auto"/>
        <w:outlineLvl w:val="0"/>
        <w:rPr>
          <w:rFonts w:ascii="楷体_GB2312"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十二</w:t>
      </w:r>
    </w:p>
    <w:p w14:paraId="241A72DB">
      <w:pPr>
        <w:pageBreakBefore w:val="0"/>
        <w:kinsoku/>
        <w:overflowPunct/>
        <w:topLinePunct w:val="0"/>
        <w:bidi w:val="0"/>
        <w:spacing w:beforeLines="50"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未被列入“信用中国”网站失信被执行人、重大税收违法案件当事人名单、政府采购严重违法失信行为</w:t>
      </w:r>
    </w:p>
    <w:p w14:paraId="3A1D9720">
      <w:pPr>
        <w:pageBreakBefore w:val="0"/>
        <w:kinsoku/>
        <w:overflowPunct/>
        <w:topLinePunct w:val="0"/>
        <w:bidi w:val="0"/>
        <w:spacing w:line="360" w:lineRule="auto"/>
        <w:jc w:val="center"/>
        <w:rPr>
          <w:rFonts w:ascii="方正小标宋简体" w:hAnsi="Times New Roman" w:eastAsia="方正小标宋简体"/>
          <w:bCs/>
          <w:color w:val="auto"/>
          <w:sz w:val="40"/>
          <w:szCs w:val="40"/>
          <w:highlight w:val="none"/>
        </w:rPr>
      </w:pPr>
      <w:r>
        <w:rPr>
          <w:rFonts w:ascii="方正小标宋简体" w:hAnsi="Times New Roman" w:eastAsia="方正小标宋简体"/>
          <w:bCs/>
          <w:color w:val="auto"/>
          <w:sz w:val="40"/>
          <w:szCs w:val="40"/>
          <w:highlight w:val="none"/>
        </w:rPr>
        <w:t>记录名单的网页打印件</w:t>
      </w:r>
    </w:p>
    <w:p w14:paraId="5514F19E">
      <w:pPr>
        <w:pageBreakBefore w:val="0"/>
        <w:kinsoku/>
        <w:overflowPunct/>
        <w:topLinePunct w:val="0"/>
        <w:bidi w:val="0"/>
        <w:spacing w:line="360" w:lineRule="auto"/>
        <w:jc w:val="center"/>
        <w:rPr>
          <w:rFonts w:ascii="Times New Roman" w:hAnsi="Times New Roman"/>
          <w:color w:val="auto"/>
          <w:sz w:val="24"/>
          <w:highlight w:val="none"/>
        </w:rPr>
      </w:pPr>
    </w:p>
    <w:p w14:paraId="02D6E556">
      <w:pPr>
        <w:pageBreakBefore w:val="0"/>
        <w:kinsoku/>
        <w:overflowPunct/>
        <w:topLinePunct w:val="0"/>
        <w:bidi w:val="0"/>
        <w:spacing w:line="360" w:lineRule="auto"/>
        <w:jc w:val="center"/>
        <w:rPr>
          <w:rFonts w:ascii="Times New Roman" w:hAnsi="Times New Roman"/>
          <w:color w:val="auto"/>
          <w:highlight w:val="none"/>
        </w:rPr>
      </w:pPr>
      <w:r>
        <w:rPr>
          <w:rFonts w:ascii="Times New Roman" w:hAnsi="Times New Roman"/>
          <w:color w:val="auto"/>
          <w:sz w:val="24"/>
          <w:highlight w:val="none"/>
        </w:rPr>
        <w:t>（供应商自行打印）</w:t>
      </w:r>
    </w:p>
    <w:p w14:paraId="6FD4FE84">
      <w:pPr>
        <w:pageBreakBefore w:val="0"/>
        <w:kinsoku/>
        <w:overflowPunct/>
        <w:topLinePunct w:val="0"/>
        <w:bidi w:val="0"/>
        <w:spacing w:line="360" w:lineRule="auto"/>
        <w:rPr>
          <w:rFonts w:ascii="Times New Roman" w:hAnsi="Times New Roman"/>
          <w:color w:val="auto"/>
          <w:highlight w:val="none"/>
        </w:rPr>
      </w:pPr>
    </w:p>
    <w:p w14:paraId="247416ED">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24"/>
          <w:highlight w:val="none"/>
        </w:rPr>
      </w:pPr>
      <w:r>
        <w:rPr>
          <w:rFonts w:ascii="Times New Roman" w:hAnsi="Times New Roman"/>
          <w:bCs/>
          <w:color w:val="auto"/>
          <w:sz w:val="24"/>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1</w:t>
      </w:r>
    </w:p>
    <w:p w14:paraId="1BCD031A">
      <w:pPr>
        <w:pageBreakBefore w:val="0"/>
        <w:kinsoku/>
        <w:overflowPunct/>
        <w:topLinePunct w:val="0"/>
        <w:bidi w:val="0"/>
        <w:spacing w:beforeLines="50" w:line="360" w:lineRule="auto"/>
        <w:jc w:val="center"/>
        <w:rPr>
          <w:rFonts w:ascii="Times New Roman" w:hAnsi="Times New Roman" w:eastAsia="方正小标宋简体"/>
          <w:color w:val="auto"/>
          <w:sz w:val="40"/>
          <w:szCs w:val="40"/>
          <w:highlight w:val="none"/>
        </w:rPr>
      </w:pPr>
      <w:r>
        <w:rPr>
          <w:rFonts w:ascii="Times New Roman" w:hAnsi="Times New Roman" w:eastAsia="方正小标宋简体"/>
          <w:color w:val="auto"/>
          <w:sz w:val="40"/>
          <w:szCs w:val="40"/>
          <w:highlight w:val="none"/>
        </w:rPr>
        <w:t>中小企业声明函</w:t>
      </w:r>
    </w:p>
    <w:p w14:paraId="55924BAB">
      <w:pPr>
        <w:pageBreakBefore w:val="0"/>
        <w:kinsoku/>
        <w:overflowPunct/>
        <w:topLinePunct w:val="0"/>
        <w:bidi w:val="0"/>
        <w:spacing w:line="360" w:lineRule="auto"/>
        <w:rPr>
          <w:rFonts w:ascii="Times New Roman" w:hAnsi="Times New Roman"/>
          <w:color w:val="auto"/>
          <w:sz w:val="32"/>
          <w:szCs w:val="32"/>
          <w:highlight w:val="none"/>
        </w:rPr>
      </w:pPr>
    </w:p>
    <w:p w14:paraId="6E490821">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本公司郑重声明，根据《政府采购促进中小企业发展暂行办法》（财库〔2011〕181号）的规定，本公司为</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（请填写：中型、小型、微型）企业。即，本公司同时满足以下条件：</w:t>
      </w:r>
    </w:p>
    <w:p w14:paraId="640CFC9C">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1</w:t>
      </w:r>
      <w:r>
        <w:rPr>
          <w:rFonts w:ascii="宋体" w:hAnsi="宋体"/>
          <w:color w:val="auto"/>
          <w:sz w:val="24"/>
          <w:szCs w:val="24"/>
          <w:highlight w:val="none"/>
        </w:rPr>
        <w:t>.</w:t>
      </w:r>
      <w:r>
        <w:rPr>
          <w:rFonts w:ascii="Times New Roman" w:hAnsi="Times New Roman"/>
          <w:color w:val="auto"/>
          <w:sz w:val="24"/>
          <w:highlight w:val="none"/>
        </w:rPr>
        <w:t>根据《工业和信息化部、国家统计局、国家发展和改革委员会、财政部关于印发中小企业划型标准规定的通知》（工信部联企业〔2011〕300号）规定的划分标准，本公司为</w:t>
      </w:r>
      <w:r>
        <w:rPr>
          <w:rFonts w:ascii="Times New Roman" w:hAnsi="Times New Roman"/>
          <w:color w:val="auto"/>
          <w:sz w:val="24"/>
          <w:highlight w:val="none"/>
          <w:u w:val="single"/>
        </w:rPr>
        <w:t>____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（请填写：中型、小型、微型）企业。</w:t>
      </w:r>
    </w:p>
    <w:p w14:paraId="0A8B490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2</w:t>
      </w:r>
      <w:r>
        <w:rPr>
          <w:rFonts w:ascii="宋体" w:hAnsi="宋体"/>
          <w:color w:val="auto"/>
          <w:sz w:val="24"/>
          <w:szCs w:val="24"/>
          <w:highlight w:val="none"/>
        </w:rPr>
        <w:t>.</w:t>
      </w:r>
      <w:r>
        <w:rPr>
          <w:rFonts w:ascii="Times New Roman" w:hAnsi="Times New Roman"/>
          <w:color w:val="auto"/>
          <w:sz w:val="24"/>
          <w:highlight w:val="none"/>
        </w:rPr>
        <w:t>本公司参加</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单位的</w:t>
      </w:r>
      <w:r>
        <w:rPr>
          <w:rFonts w:ascii="Times New Roman" w:hAnsi="Times New Roman"/>
          <w:color w:val="auto"/>
          <w:sz w:val="24"/>
          <w:highlight w:val="none"/>
          <w:u w:val="single"/>
        </w:rPr>
        <w:t>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w:t>
      </w:r>
      <w:r>
        <w:rPr>
          <w:rFonts w:ascii="Times New Roman" w:hAnsi="Times New Roman"/>
          <w:color w:val="auto"/>
          <w:sz w:val="24"/>
          <w:highlight w:val="none"/>
        </w:rPr>
        <w:t>项目（项目编号：）采购活动提供本企业制造的货物，由本企业承担工程、提供服务，或者提供其他</w:t>
      </w:r>
      <w:r>
        <w:rPr>
          <w:rFonts w:ascii="Times New Roman" w:hAnsi="Times New Roman"/>
          <w:color w:val="auto"/>
          <w:sz w:val="24"/>
          <w:highlight w:val="none"/>
          <w:u w:val="single"/>
        </w:rPr>
        <w:t>___</w:t>
      </w:r>
      <w:r>
        <w:rPr>
          <w:rFonts w:hint="eastAsia" w:ascii="Times New Roman" w:hAnsi="Times New Roman"/>
          <w:color w:val="auto"/>
          <w:sz w:val="24"/>
          <w:highlight w:val="none"/>
          <w:u w:val="single"/>
        </w:rPr>
        <w:t xml:space="preserve">  </w:t>
      </w:r>
      <w:r>
        <w:rPr>
          <w:rFonts w:ascii="Times New Roman" w:hAnsi="Times New Roman"/>
          <w:color w:val="auto"/>
          <w:sz w:val="24"/>
          <w:highlight w:val="none"/>
          <w:u w:val="single"/>
        </w:rPr>
        <w:t>___</w:t>
      </w:r>
      <w:r>
        <w:rPr>
          <w:rFonts w:ascii="Times New Roman" w:hAnsi="Times New Roman"/>
          <w:color w:val="auto"/>
          <w:sz w:val="24"/>
          <w:highlight w:val="none"/>
        </w:rPr>
        <w:t>（请填写：中型、小型、微型）企业制造的货物。本条所称货物不包括使用大型企业注册商标的货物。</w:t>
      </w:r>
    </w:p>
    <w:p w14:paraId="080091C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本公司对上述声明的真实性负责。如有虚假，将依法承担相应责任。</w:t>
      </w:r>
      <w:r>
        <w:rPr>
          <w:rFonts w:ascii="Times New Roman" w:hAnsi="Times New Roman"/>
          <w:color w:val="auto"/>
          <w:sz w:val="24"/>
          <w:highlight w:val="none"/>
        </w:rPr>
        <w:br w:type="textWrapping"/>
      </w:r>
    </w:p>
    <w:p w14:paraId="0ED48839">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企业名称（盖章）：</w:t>
      </w:r>
    </w:p>
    <w:p w14:paraId="1045889F">
      <w:pPr>
        <w:pageBreakBefore w:val="0"/>
        <w:kinsoku/>
        <w:overflowPunct/>
        <w:topLinePunct w:val="0"/>
        <w:bidi w:val="0"/>
        <w:spacing w:line="360" w:lineRule="auto"/>
        <w:ind w:firstLine="480" w:firstLineChars="200"/>
        <w:rPr>
          <w:rFonts w:ascii="Times New Roman" w:hAnsi="Times New Roman"/>
          <w:color w:val="auto"/>
          <w:sz w:val="24"/>
          <w:highlight w:val="none"/>
        </w:rPr>
      </w:pPr>
      <w:r>
        <w:rPr>
          <w:rFonts w:ascii="Times New Roman" w:hAnsi="Times New Roman"/>
          <w:color w:val="auto"/>
          <w:sz w:val="24"/>
          <w:highlight w:val="none"/>
        </w:rPr>
        <w:t>企业法人（负责人）签字（签章）：</w:t>
      </w:r>
    </w:p>
    <w:p w14:paraId="2B0E99BB">
      <w:pPr>
        <w:pageBreakBefore w:val="0"/>
        <w:kinsoku/>
        <w:overflowPunct/>
        <w:topLinePunct w:val="0"/>
        <w:bidi w:val="0"/>
        <w:spacing w:line="360" w:lineRule="auto"/>
        <w:ind w:firstLine="480" w:firstLineChars="200"/>
        <w:rPr>
          <w:rFonts w:ascii="Times New Roman" w:hAnsi="Times New Roman"/>
          <w:color w:val="auto"/>
          <w:sz w:val="24"/>
          <w:highlight w:val="none"/>
        </w:rPr>
        <w:sectPr>
          <w:footerReference r:id="rId7" w:type="default"/>
          <w:pgSz w:w="11906" w:h="16838"/>
          <w:pgMar w:top="1418" w:right="1418" w:bottom="1418" w:left="1418" w:header="851" w:footer="992" w:gutter="0"/>
          <w:cols w:space="425" w:num="1"/>
          <w:docGrid w:linePitch="312" w:charSpace="0"/>
        </w:sectPr>
      </w:pPr>
      <w:r>
        <w:rPr>
          <w:rFonts w:ascii="Times New Roman" w:hAnsi="Times New Roman"/>
          <w:color w:val="auto"/>
          <w:sz w:val="24"/>
          <w:highlight w:val="none"/>
        </w:rPr>
        <w:t>日</w:t>
      </w:r>
      <w:r>
        <w:rPr>
          <w:rFonts w:hint="eastAsia" w:ascii="Times New Roman" w:hAnsi="Times New Roman"/>
          <w:color w:val="auto"/>
          <w:sz w:val="24"/>
          <w:highlight w:val="none"/>
        </w:rPr>
        <w:t xml:space="preserve">  </w:t>
      </w:r>
      <w:r>
        <w:rPr>
          <w:rFonts w:ascii="Times New Roman" w:hAnsi="Times New Roman"/>
          <w:color w:val="auto"/>
          <w:sz w:val="24"/>
          <w:highlight w:val="none"/>
        </w:rPr>
        <w:t>期：</w:t>
      </w:r>
    </w:p>
    <w:p w14:paraId="181671D2">
      <w:pPr>
        <w:pageBreakBefore w:val="0"/>
        <w:kinsoku/>
        <w:overflowPunct/>
        <w:topLinePunct w:val="0"/>
        <w:bidi w:val="0"/>
        <w:spacing w:afterLines="50" w:line="360" w:lineRule="auto"/>
        <w:jc w:val="center"/>
        <w:rPr>
          <w:rFonts w:ascii="Times New Roman" w:hAnsi="Times New Roman" w:eastAsia="方正小标宋简体"/>
          <w:color w:val="auto"/>
          <w:kern w:val="0"/>
          <w:sz w:val="40"/>
          <w:szCs w:val="40"/>
          <w:highlight w:val="none"/>
        </w:rPr>
      </w:pPr>
      <w:r>
        <w:rPr>
          <w:rFonts w:ascii="Times New Roman" w:hAnsi="Times New Roman" w:eastAsia="方正小标宋简体"/>
          <w:color w:val="auto"/>
          <w:kern w:val="0"/>
          <w:sz w:val="40"/>
          <w:szCs w:val="40"/>
          <w:highlight w:val="none"/>
        </w:rPr>
        <w:t>中小企业划型标准</w:t>
      </w:r>
    </w:p>
    <w:tbl>
      <w:tblPr>
        <w:tblStyle w:val="30"/>
        <w:tblW w:w="14218" w:type="dxa"/>
        <w:tblInd w:w="0" w:type="dxa"/>
        <w:tblLayout w:type="fixed"/>
        <w:tblCellMar>
          <w:top w:w="0" w:type="dxa"/>
          <w:left w:w="108" w:type="dxa"/>
          <w:bottom w:w="0" w:type="dxa"/>
          <w:right w:w="108" w:type="dxa"/>
        </w:tblCellMar>
      </w:tblPr>
      <w:tblGrid>
        <w:gridCol w:w="427"/>
        <w:gridCol w:w="1391"/>
        <w:gridCol w:w="927"/>
        <w:gridCol w:w="918"/>
        <w:gridCol w:w="1086"/>
        <w:gridCol w:w="992"/>
        <w:gridCol w:w="907"/>
        <w:gridCol w:w="1103"/>
        <w:gridCol w:w="1061"/>
        <w:gridCol w:w="958"/>
        <w:gridCol w:w="1166"/>
        <w:gridCol w:w="1061"/>
        <w:gridCol w:w="1197"/>
        <w:gridCol w:w="1024"/>
      </w:tblGrid>
      <w:tr w14:paraId="386DA527">
        <w:tblPrEx>
          <w:tblCellMar>
            <w:top w:w="0" w:type="dxa"/>
            <w:left w:w="108" w:type="dxa"/>
            <w:bottom w:w="0" w:type="dxa"/>
            <w:right w:w="108" w:type="dxa"/>
          </w:tblCellMar>
        </w:tblPrEx>
        <w:trPr>
          <w:trHeight w:val="416" w:hRule="atLeast"/>
          <w:tblHeader/>
        </w:trPr>
        <w:tc>
          <w:tcPr>
            <w:tcW w:w="427" w:type="dxa"/>
            <w:vMerge w:val="restart"/>
            <w:tcBorders>
              <w:top w:val="single" w:color="auto" w:sz="4" w:space="0"/>
              <w:left w:val="single" w:color="auto" w:sz="4" w:space="0"/>
              <w:right w:val="single" w:color="auto" w:sz="4" w:space="0"/>
            </w:tcBorders>
            <w:shd w:val="clear" w:color="auto" w:fill="auto"/>
            <w:noWrap/>
            <w:vAlign w:val="center"/>
          </w:tcPr>
          <w:p w14:paraId="3DA97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序号</w:t>
            </w:r>
          </w:p>
        </w:tc>
        <w:tc>
          <w:tcPr>
            <w:tcW w:w="1391" w:type="dxa"/>
            <w:vMerge w:val="restart"/>
            <w:tcBorders>
              <w:top w:val="single" w:color="auto" w:sz="4" w:space="0"/>
              <w:left w:val="nil"/>
              <w:right w:val="single" w:color="auto" w:sz="4" w:space="0"/>
            </w:tcBorders>
            <w:shd w:val="clear" w:color="auto" w:fill="auto"/>
            <w:vAlign w:val="center"/>
          </w:tcPr>
          <w:p w14:paraId="4A559B5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行业</w:t>
            </w:r>
          </w:p>
        </w:tc>
        <w:tc>
          <w:tcPr>
            <w:tcW w:w="2931" w:type="dxa"/>
            <w:gridSpan w:val="3"/>
            <w:tcBorders>
              <w:top w:val="single" w:color="auto" w:sz="4" w:space="0"/>
              <w:left w:val="nil"/>
              <w:bottom w:val="single" w:color="auto" w:sz="4" w:space="0"/>
              <w:right w:val="single" w:color="auto" w:sz="4" w:space="0"/>
            </w:tcBorders>
            <w:shd w:val="clear" w:color="auto" w:fill="auto"/>
            <w:noWrap/>
            <w:vAlign w:val="center"/>
          </w:tcPr>
          <w:p w14:paraId="5976B2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大型企业</w:t>
            </w:r>
          </w:p>
        </w:tc>
        <w:tc>
          <w:tcPr>
            <w:tcW w:w="3002" w:type="dxa"/>
            <w:gridSpan w:val="3"/>
            <w:tcBorders>
              <w:top w:val="single" w:color="auto" w:sz="4" w:space="0"/>
              <w:left w:val="nil"/>
              <w:bottom w:val="single" w:color="auto" w:sz="4" w:space="0"/>
              <w:right w:val="single" w:color="auto" w:sz="4" w:space="0"/>
            </w:tcBorders>
            <w:shd w:val="clear" w:color="auto" w:fill="auto"/>
            <w:noWrap/>
            <w:vAlign w:val="center"/>
          </w:tcPr>
          <w:p w14:paraId="57FBE72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中型企业</w:t>
            </w:r>
          </w:p>
        </w:tc>
        <w:tc>
          <w:tcPr>
            <w:tcW w:w="3185" w:type="dxa"/>
            <w:gridSpan w:val="3"/>
            <w:tcBorders>
              <w:top w:val="single" w:color="auto" w:sz="4" w:space="0"/>
              <w:left w:val="nil"/>
              <w:bottom w:val="single" w:color="auto" w:sz="4" w:space="0"/>
              <w:right w:val="single" w:color="auto" w:sz="4" w:space="0"/>
            </w:tcBorders>
            <w:shd w:val="clear" w:color="auto" w:fill="auto"/>
            <w:noWrap/>
            <w:vAlign w:val="center"/>
          </w:tcPr>
          <w:p w14:paraId="5364454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小型企业</w:t>
            </w:r>
          </w:p>
        </w:tc>
        <w:tc>
          <w:tcPr>
            <w:tcW w:w="3282" w:type="dxa"/>
            <w:gridSpan w:val="3"/>
            <w:tcBorders>
              <w:top w:val="single" w:color="auto" w:sz="4" w:space="0"/>
              <w:left w:val="nil"/>
              <w:bottom w:val="single" w:color="auto" w:sz="4" w:space="0"/>
              <w:right w:val="single" w:color="auto" w:sz="4" w:space="0"/>
            </w:tcBorders>
            <w:shd w:val="clear" w:color="auto" w:fill="auto"/>
            <w:noWrap/>
            <w:vAlign w:val="center"/>
          </w:tcPr>
          <w:p w14:paraId="35B09D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微型企业</w:t>
            </w:r>
          </w:p>
        </w:tc>
      </w:tr>
      <w:tr w14:paraId="64E377ED">
        <w:tblPrEx>
          <w:tblCellMar>
            <w:top w:w="0" w:type="dxa"/>
            <w:left w:w="108" w:type="dxa"/>
            <w:bottom w:w="0" w:type="dxa"/>
            <w:right w:w="108" w:type="dxa"/>
          </w:tblCellMar>
        </w:tblPrEx>
        <w:trPr>
          <w:trHeight w:val="226" w:hRule="atLeast"/>
          <w:tblHeader/>
        </w:trPr>
        <w:tc>
          <w:tcPr>
            <w:tcW w:w="427" w:type="dxa"/>
            <w:vMerge w:val="continue"/>
            <w:tcBorders>
              <w:left w:val="single" w:color="auto" w:sz="4" w:space="0"/>
              <w:bottom w:val="single" w:color="auto" w:sz="4" w:space="0"/>
              <w:right w:val="single" w:color="auto" w:sz="4" w:space="0"/>
            </w:tcBorders>
            <w:shd w:val="clear" w:color="auto" w:fill="auto"/>
            <w:noWrap/>
            <w:vAlign w:val="center"/>
          </w:tcPr>
          <w:p w14:paraId="3C7A05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p>
        </w:tc>
        <w:tc>
          <w:tcPr>
            <w:tcW w:w="1391" w:type="dxa"/>
            <w:vMerge w:val="continue"/>
            <w:tcBorders>
              <w:left w:val="nil"/>
              <w:bottom w:val="single" w:color="auto" w:sz="4" w:space="0"/>
              <w:right w:val="single" w:color="auto" w:sz="4" w:space="0"/>
            </w:tcBorders>
            <w:shd w:val="clear" w:color="auto" w:fill="auto"/>
            <w:vAlign w:val="center"/>
          </w:tcPr>
          <w:p w14:paraId="26EB79E6">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p>
        </w:tc>
        <w:tc>
          <w:tcPr>
            <w:tcW w:w="927" w:type="dxa"/>
            <w:tcBorders>
              <w:top w:val="nil"/>
              <w:left w:val="nil"/>
              <w:bottom w:val="single" w:color="auto" w:sz="4" w:space="0"/>
              <w:right w:val="single" w:color="auto" w:sz="4" w:space="0"/>
            </w:tcBorders>
            <w:shd w:val="clear" w:color="auto" w:fill="auto"/>
            <w:noWrap/>
            <w:vAlign w:val="center"/>
          </w:tcPr>
          <w:p w14:paraId="47288D0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4A52E94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18" w:type="dxa"/>
            <w:tcBorders>
              <w:top w:val="nil"/>
              <w:left w:val="nil"/>
              <w:bottom w:val="single" w:color="auto" w:sz="4" w:space="0"/>
              <w:right w:val="single" w:color="auto" w:sz="4" w:space="0"/>
            </w:tcBorders>
            <w:shd w:val="clear" w:color="auto" w:fill="auto"/>
            <w:noWrap/>
            <w:vAlign w:val="center"/>
          </w:tcPr>
          <w:p w14:paraId="4880233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38DE850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86" w:type="dxa"/>
            <w:tcBorders>
              <w:top w:val="nil"/>
              <w:left w:val="nil"/>
              <w:bottom w:val="single" w:color="auto" w:sz="4" w:space="0"/>
              <w:right w:val="single" w:color="auto" w:sz="4" w:space="0"/>
            </w:tcBorders>
            <w:shd w:val="clear" w:color="auto" w:fill="auto"/>
            <w:noWrap/>
            <w:vAlign w:val="center"/>
          </w:tcPr>
          <w:p w14:paraId="31C30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7D66420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92" w:type="dxa"/>
            <w:tcBorders>
              <w:top w:val="nil"/>
              <w:left w:val="nil"/>
              <w:bottom w:val="single" w:color="auto" w:sz="4" w:space="0"/>
              <w:right w:val="single" w:color="auto" w:sz="4" w:space="0"/>
            </w:tcBorders>
            <w:shd w:val="clear" w:color="auto" w:fill="auto"/>
            <w:noWrap/>
            <w:vAlign w:val="center"/>
          </w:tcPr>
          <w:p w14:paraId="4058E5B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406663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07" w:type="dxa"/>
            <w:tcBorders>
              <w:top w:val="nil"/>
              <w:left w:val="nil"/>
              <w:bottom w:val="single" w:color="auto" w:sz="4" w:space="0"/>
              <w:right w:val="single" w:color="auto" w:sz="4" w:space="0"/>
            </w:tcBorders>
            <w:shd w:val="clear" w:color="auto" w:fill="auto"/>
            <w:noWrap/>
            <w:vAlign w:val="center"/>
          </w:tcPr>
          <w:p w14:paraId="1893AD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461600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03" w:type="dxa"/>
            <w:tcBorders>
              <w:top w:val="nil"/>
              <w:left w:val="nil"/>
              <w:bottom w:val="single" w:color="auto" w:sz="4" w:space="0"/>
              <w:right w:val="single" w:color="auto" w:sz="4" w:space="0"/>
            </w:tcBorders>
            <w:shd w:val="clear" w:color="auto" w:fill="auto"/>
            <w:noWrap/>
            <w:vAlign w:val="center"/>
          </w:tcPr>
          <w:p w14:paraId="4D233F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0EA4C7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5336D28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100E5D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958" w:type="dxa"/>
            <w:tcBorders>
              <w:top w:val="nil"/>
              <w:left w:val="nil"/>
              <w:bottom w:val="single" w:color="auto" w:sz="4" w:space="0"/>
              <w:right w:val="single" w:color="auto" w:sz="4" w:space="0"/>
            </w:tcBorders>
            <w:shd w:val="clear" w:color="auto" w:fill="auto"/>
            <w:noWrap/>
            <w:vAlign w:val="center"/>
          </w:tcPr>
          <w:p w14:paraId="17C903EF">
            <w:pPr>
              <w:pageBreakBefore w:val="0"/>
              <w:widowControl/>
              <w:kinsoku/>
              <w:overflowPunct/>
              <w:topLinePunct w:val="0"/>
              <w:bidi w:val="0"/>
              <w:spacing w:line="360" w:lineRule="auto"/>
              <w:ind w:left="81" w:leftChars="-40" w:right="-57" w:rightChars="-27" w:hanging="165" w:hangingChars="79"/>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10DD21A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166" w:type="dxa"/>
            <w:tcBorders>
              <w:top w:val="nil"/>
              <w:left w:val="nil"/>
              <w:bottom w:val="single" w:color="auto" w:sz="4" w:space="0"/>
              <w:right w:val="single" w:color="auto" w:sz="4" w:space="0"/>
            </w:tcBorders>
            <w:shd w:val="clear" w:color="auto" w:fill="auto"/>
            <w:noWrap/>
            <w:vAlign w:val="center"/>
          </w:tcPr>
          <w:p w14:paraId="419DB49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1580C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061" w:type="dxa"/>
            <w:tcBorders>
              <w:top w:val="nil"/>
              <w:left w:val="nil"/>
              <w:bottom w:val="single" w:color="auto" w:sz="4" w:space="0"/>
              <w:right w:val="single" w:color="auto" w:sz="4" w:space="0"/>
            </w:tcBorders>
            <w:shd w:val="clear" w:color="auto" w:fill="auto"/>
            <w:noWrap/>
            <w:vAlign w:val="center"/>
          </w:tcPr>
          <w:p w14:paraId="72DC43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营业收入</w:t>
            </w:r>
          </w:p>
          <w:p w14:paraId="050FFA3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c>
          <w:tcPr>
            <w:tcW w:w="1197" w:type="dxa"/>
            <w:tcBorders>
              <w:top w:val="nil"/>
              <w:left w:val="nil"/>
              <w:bottom w:val="single" w:color="auto" w:sz="4" w:space="0"/>
              <w:right w:val="single" w:color="auto" w:sz="4" w:space="0"/>
            </w:tcBorders>
            <w:shd w:val="clear" w:color="auto" w:fill="auto"/>
            <w:noWrap/>
            <w:vAlign w:val="center"/>
          </w:tcPr>
          <w:p w14:paraId="58DD5BE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从业人员</w:t>
            </w:r>
          </w:p>
          <w:p w14:paraId="0BB239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(人)</w:t>
            </w:r>
          </w:p>
        </w:tc>
        <w:tc>
          <w:tcPr>
            <w:tcW w:w="1024" w:type="dxa"/>
            <w:tcBorders>
              <w:top w:val="nil"/>
              <w:left w:val="nil"/>
              <w:bottom w:val="single" w:color="auto" w:sz="4" w:space="0"/>
              <w:right w:val="single" w:color="auto" w:sz="4" w:space="0"/>
            </w:tcBorders>
            <w:shd w:val="clear" w:color="auto" w:fill="auto"/>
            <w:noWrap/>
            <w:vAlign w:val="center"/>
          </w:tcPr>
          <w:p w14:paraId="03755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总资产</w:t>
            </w:r>
          </w:p>
          <w:p w14:paraId="695E4FF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(万元)</w:t>
            </w:r>
          </w:p>
        </w:tc>
      </w:tr>
      <w:tr w14:paraId="6727A5A0">
        <w:tblPrEx>
          <w:tblCellMar>
            <w:top w:w="0" w:type="dxa"/>
            <w:left w:w="108" w:type="dxa"/>
            <w:bottom w:w="0" w:type="dxa"/>
            <w:right w:w="108" w:type="dxa"/>
          </w:tblCellMar>
        </w:tblPrEx>
        <w:trPr>
          <w:trHeight w:val="64" w:hRule="atLeast"/>
        </w:trPr>
        <w:tc>
          <w:tcPr>
            <w:tcW w:w="42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72E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w:t>
            </w:r>
          </w:p>
        </w:tc>
        <w:tc>
          <w:tcPr>
            <w:tcW w:w="1391" w:type="dxa"/>
            <w:tcBorders>
              <w:top w:val="single" w:color="auto" w:sz="4" w:space="0"/>
              <w:left w:val="nil"/>
              <w:bottom w:val="single" w:color="auto" w:sz="4" w:space="0"/>
              <w:right w:val="single" w:color="auto" w:sz="4" w:space="0"/>
            </w:tcBorders>
            <w:shd w:val="clear" w:color="auto" w:fill="auto"/>
            <w:vAlign w:val="center"/>
          </w:tcPr>
          <w:p w14:paraId="4816C511">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农、林、牧、渔业</w:t>
            </w:r>
          </w:p>
        </w:tc>
        <w:tc>
          <w:tcPr>
            <w:tcW w:w="927" w:type="dxa"/>
            <w:tcBorders>
              <w:top w:val="single" w:color="auto" w:sz="4" w:space="0"/>
              <w:left w:val="nil"/>
              <w:bottom w:val="single" w:color="auto" w:sz="4" w:space="0"/>
              <w:right w:val="single" w:color="auto" w:sz="4" w:space="0"/>
            </w:tcBorders>
            <w:shd w:val="clear" w:color="auto" w:fill="auto"/>
            <w:noWrap/>
            <w:vAlign w:val="center"/>
          </w:tcPr>
          <w:p w14:paraId="009807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1460B2B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DDFDD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D0C06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3EFA64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8B5210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3B03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281677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7951E4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93947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bottom"/>
          </w:tcPr>
          <w:p w14:paraId="5A431E5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bottom"/>
          </w:tcPr>
          <w:p w14:paraId="65E8F5A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A8970A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34413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w:t>
            </w:r>
          </w:p>
        </w:tc>
        <w:tc>
          <w:tcPr>
            <w:tcW w:w="1391" w:type="dxa"/>
            <w:tcBorders>
              <w:top w:val="nil"/>
              <w:left w:val="nil"/>
              <w:bottom w:val="single" w:color="auto" w:sz="4" w:space="0"/>
              <w:right w:val="single" w:color="auto" w:sz="4" w:space="0"/>
            </w:tcBorders>
            <w:shd w:val="clear" w:color="auto" w:fill="auto"/>
            <w:vAlign w:val="center"/>
          </w:tcPr>
          <w:p w14:paraId="02D7B27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工业</w:t>
            </w:r>
          </w:p>
        </w:tc>
        <w:tc>
          <w:tcPr>
            <w:tcW w:w="927" w:type="dxa"/>
            <w:tcBorders>
              <w:top w:val="nil"/>
              <w:left w:val="nil"/>
              <w:bottom w:val="single" w:color="auto" w:sz="4" w:space="0"/>
              <w:right w:val="single" w:color="auto" w:sz="4" w:space="0"/>
            </w:tcBorders>
            <w:shd w:val="clear" w:color="auto" w:fill="auto"/>
            <w:noWrap/>
            <w:vAlign w:val="center"/>
          </w:tcPr>
          <w:p w14:paraId="252A1F6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2C4EC4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5E8BF0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2C8F347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3F1227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280C45E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7426A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0CDADE2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F687D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C980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28639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42435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FDB07A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0BF92F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w:t>
            </w:r>
          </w:p>
        </w:tc>
        <w:tc>
          <w:tcPr>
            <w:tcW w:w="1391" w:type="dxa"/>
            <w:tcBorders>
              <w:top w:val="nil"/>
              <w:left w:val="nil"/>
              <w:bottom w:val="single" w:color="auto" w:sz="4" w:space="0"/>
              <w:right w:val="single" w:color="auto" w:sz="4" w:space="0"/>
            </w:tcBorders>
            <w:shd w:val="clear" w:color="auto" w:fill="auto"/>
            <w:vAlign w:val="center"/>
          </w:tcPr>
          <w:p w14:paraId="612EF8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hint="eastAsia" w:ascii="Times New Roman" w:hAnsi="Times New Roman"/>
                <w:color w:val="auto"/>
                <w:kern w:val="0"/>
                <w:szCs w:val="21"/>
                <w:highlight w:val="none"/>
                <w:lang w:eastAsia="zh-CN"/>
              </w:rPr>
              <w:t>建筑</w:t>
            </w:r>
            <w:r>
              <w:rPr>
                <w:rFonts w:ascii="Times New Roman" w:hAnsi="Times New Roman"/>
                <w:color w:val="auto"/>
                <w:kern w:val="0"/>
                <w:szCs w:val="21"/>
                <w:highlight w:val="none"/>
              </w:rPr>
              <w:t>业</w:t>
            </w:r>
          </w:p>
        </w:tc>
        <w:tc>
          <w:tcPr>
            <w:tcW w:w="927" w:type="dxa"/>
            <w:tcBorders>
              <w:top w:val="nil"/>
              <w:left w:val="nil"/>
              <w:bottom w:val="single" w:color="auto" w:sz="4" w:space="0"/>
              <w:right w:val="single" w:color="auto" w:sz="4" w:space="0"/>
            </w:tcBorders>
            <w:shd w:val="clear" w:color="auto" w:fill="auto"/>
            <w:noWrap/>
            <w:vAlign w:val="center"/>
          </w:tcPr>
          <w:p w14:paraId="572F72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18" w:type="dxa"/>
            <w:tcBorders>
              <w:top w:val="nil"/>
              <w:left w:val="nil"/>
              <w:bottom w:val="single" w:color="auto" w:sz="4" w:space="0"/>
              <w:right w:val="single" w:color="auto" w:sz="4" w:space="0"/>
            </w:tcBorders>
            <w:shd w:val="clear" w:color="auto" w:fill="auto"/>
            <w:noWrap/>
            <w:vAlign w:val="center"/>
          </w:tcPr>
          <w:p w14:paraId="0A53C9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19BEC4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≥80000</w:t>
            </w:r>
          </w:p>
        </w:tc>
        <w:tc>
          <w:tcPr>
            <w:tcW w:w="992" w:type="dxa"/>
            <w:tcBorders>
              <w:top w:val="nil"/>
              <w:left w:val="nil"/>
              <w:bottom w:val="single" w:color="auto" w:sz="4" w:space="0"/>
              <w:right w:val="single" w:color="auto" w:sz="4" w:space="0"/>
            </w:tcBorders>
            <w:shd w:val="clear" w:color="auto" w:fill="auto"/>
            <w:noWrap/>
            <w:vAlign w:val="center"/>
          </w:tcPr>
          <w:p w14:paraId="5CA38E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68FF6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6F0AD0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1061" w:type="dxa"/>
            <w:tcBorders>
              <w:top w:val="nil"/>
              <w:left w:val="nil"/>
              <w:bottom w:val="single" w:color="auto" w:sz="4" w:space="0"/>
              <w:right w:val="single" w:color="auto" w:sz="4" w:space="0"/>
            </w:tcBorders>
            <w:shd w:val="clear" w:color="auto" w:fill="auto"/>
            <w:noWrap/>
            <w:vAlign w:val="center"/>
          </w:tcPr>
          <w:p w14:paraId="6E51DF1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958" w:type="dxa"/>
            <w:tcBorders>
              <w:top w:val="nil"/>
              <w:left w:val="nil"/>
              <w:bottom w:val="single" w:color="auto" w:sz="4" w:space="0"/>
              <w:right w:val="single" w:color="auto" w:sz="4" w:space="0"/>
            </w:tcBorders>
            <w:shd w:val="clear" w:color="auto" w:fill="auto"/>
            <w:noWrap/>
            <w:vAlign w:val="center"/>
          </w:tcPr>
          <w:p w14:paraId="7B10EB1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195A2F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61" w:type="dxa"/>
            <w:tcBorders>
              <w:top w:val="nil"/>
              <w:left w:val="nil"/>
              <w:bottom w:val="single" w:color="auto" w:sz="4" w:space="0"/>
              <w:right w:val="single" w:color="auto" w:sz="4" w:space="0"/>
            </w:tcBorders>
            <w:shd w:val="clear" w:color="auto" w:fill="auto"/>
            <w:noWrap/>
            <w:vAlign w:val="center"/>
          </w:tcPr>
          <w:p w14:paraId="3D72C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97" w:type="dxa"/>
            <w:tcBorders>
              <w:top w:val="nil"/>
              <w:left w:val="nil"/>
              <w:bottom w:val="single" w:color="auto" w:sz="4" w:space="0"/>
              <w:right w:val="single" w:color="auto" w:sz="4" w:space="0"/>
            </w:tcBorders>
            <w:shd w:val="clear" w:color="auto" w:fill="auto"/>
            <w:noWrap/>
            <w:vAlign w:val="center"/>
          </w:tcPr>
          <w:p w14:paraId="3832AE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4784896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r>
      <w:tr w14:paraId="5622C646">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FBD616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w:t>
            </w:r>
          </w:p>
        </w:tc>
        <w:tc>
          <w:tcPr>
            <w:tcW w:w="1391" w:type="dxa"/>
            <w:tcBorders>
              <w:top w:val="nil"/>
              <w:left w:val="nil"/>
              <w:bottom w:val="single" w:color="auto" w:sz="4" w:space="0"/>
              <w:right w:val="single" w:color="auto" w:sz="4" w:space="0"/>
            </w:tcBorders>
            <w:shd w:val="clear" w:color="auto" w:fill="auto"/>
            <w:vAlign w:val="center"/>
          </w:tcPr>
          <w:p w14:paraId="05318139">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批发业</w:t>
            </w:r>
          </w:p>
        </w:tc>
        <w:tc>
          <w:tcPr>
            <w:tcW w:w="927" w:type="dxa"/>
            <w:tcBorders>
              <w:top w:val="nil"/>
              <w:left w:val="nil"/>
              <w:bottom w:val="single" w:color="auto" w:sz="4" w:space="0"/>
              <w:right w:val="single" w:color="auto" w:sz="4" w:space="0"/>
            </w:tcBorders>
            <w:shd w:val="clear" w:color="auto" w:fill="auto"/>
            <w:noWrap/>
            <w:vAlign w:val="center"/>
          </w:tcPr>
          <w:p w14:paraId="5354CBA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≥40000</w:t>
            </w:r>
          </w:p>
        </w:tc>
        <w:tc>
          <w:tcPr>
            <w:tcW w:w="918" w:type="dxa"/>
            <w:tcBorders>
              <w:top w:val="nil"/>
              <w:left w:val="nil"/>
              <w:bottom w:val="single" w:color="auto" w:sz="4" w:space="0"/>
              <w:right w:val="single" w:color="auto" w:sz="4" w:space="0"/>
            </w:tcBorders>
            <w:shd w:val="clear" w:color="auto" w:fill="auto"/>
            <w:noWrap/>
            <w:vAlign w:val="center"/>
          </w:tcPr>
          <w:p w14:paraId="65E9E6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3F05A34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51824B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07" w:type="dxa"/>
            <w:tcBorders>
              <w:top w:val="nil"/>
              <w:left w:val="nil"/>
              <w:bottom w:val="single" w:color="auto" w:sz="4" w:space="0"/>
              <w:right w:val="single" w:color="auto" w:sz="4" w:space="0"/>
            </w:tcBorders>
            <w:shd w:val="clear" w:color="auto" w:fill="auto"/>
            <w:noWrap/>
            <w:vAlign w:val="center"/>
          </w:tcPr>
          <w:p w14:paraId="6906D10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03" w:type="dxa"/>
            <w:tcBorders>
              <w:top w:val="nil"/>
              <w:left w:val="nil"/>
              <w:bottom w:val="single" w:color="auto" w:sz="4" w:space="0"/>
              <w:right w:val="single" w:color="auto" w:sz="4" w:space="0"/>
            </w:tcBorders>
            <w:shd w:val="clear" w:color="auto" w:fill="auto"/>
            <w:noWrap/>
            <w:vAlign w:val="center"/>
          </w:tcPr>
          <w:p w14:paraId="6D40A3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ACC628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58" w:type="dxa"/>
            <w:tcBorders>
              <w:top w:val="nil"/>
              <w:left w:val="nil"/>
              <w:bottom w:val="single" w:color="auto" w:sz="4" w:space="0"/>
              <w:right w:val="single" w:color="auto" w:sz="4" w:space="0"/>
            </w:tcBorders>
            <w:shd w:val="clear" w:color="auto" w:fill="auto"/>
            <w:noWrap/>
            <w:vAlign w:val="center"/>
          </w:tcPr>
          <w:p w14:paraId="4743F6B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2841CC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6820CA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197" w:type="dxa"/>
            <w:tcBorders>
              <w:top w:val="nil"/>
              <w:left w:val="nil"/>
              <w:bottom w:val="single" w:color="auto" w:sz="4" w:space="0"/>
              <w:right w:val="single" w:color="auto" w:sz="4" w:space="0"/>
            </w:tcBorders>
            <w:shd w:val="clear" w:color="auto" w:fill="auto"/>
            <w:noWrap/>
            <w:vAlign w:val="center"/>
          </w:tcPr>
          <w:p w14:paraId="757879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024" w:type="dxa"/>
            <w:tcBorders>
              <w:top w:val="nil"/>
              <w:left w:val="nil"/>
              <w:bottom w:val="single" w:color="auto" w:sz="4" w:space="0"/>
              <w:right w:val="single" w:color="auto" w:sz="4" w:space="0"/>
            </w:tcBorders>
            <w:shd w:val="clear" w:color="auto" w:fill="auto"/>
            <w:noWrap/>
            <w:vAlign w:val="bottom"/>
          </w:tcPr>
          <w:p w14:paraId="6BC888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DAB828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7910E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w:t>
            </w:r>
          </w:p>
        </w:tc>
        <w:tc>
          <w:tcPr>
            <w:tcW w:w="1391" w:type="dxa"/>
            <w:tcBorders>
              <w:top w:val="nil"/>
              <w:left w:val="nil"/>
              <w:bottom w:val="single" w:color="auto" w:sz="4" w:space="0"/>
              <w:right w:val="single" w:color="auto" w:sz="4" w:space="0"/>
            </w:tcBorders>
            <w:shd w:val="clear" w:color="auto" w:fill="auto"/>
            <w:vAlign w:val="center"/>
          </w:tcPr>
          <w:p w14:paraId="1A23A2D4">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零售业</w:t>
            </w:r>
          </w:p>
        </w:tc>
        <w:tc>
          <w:tcPr>
            <w:tcW w:w="927" w:type="dxa"/>
            <w:tcBorders>
              <w:top w:val="nil"/>
              <w:left w:val="nil"/>
              <w:bottom w:val="single" w:color="auto" w:sz="4" w:space="0"/>
              <w:right w:val="single" w:color="auto" w:sz="4" w:space="0"/>
            </w:tcBorders>
            <w:shd w:val="clear" w:color="auto" w:fill="auto"/>
            <w:noWrap/>
            <w:vAlign w:val="center"/>
          </w:tcPr>
          <w:p w14:paraId="650C6D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w:t>
            </w:r>
          </w:p>
        </w:tc>
        <w:tc>
          <w:tcPr>
            <w:tcW w:w="918" w:type="dxa"/>
            <w:tcBorders>
              <w:top w:val="nil"/>
              <w:left w:val="nil"/>
              <w:bottom w:val="single" w:color="auto" w:sz="4" w:space="0"/>
              <w:right w:val="single" w:color="auto" w:sz="4" w:space="0"/>
            </w:tcBorders>
            <w:shd w:val="clear" w:color="auto" w:fill="auto"/>
            <w:noWrap/>
            <w:vAlign w:val="center"/>
          </w:tcPr>
          <w:p w14:paraId="7D4195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F4DFB2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BB126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07" w:type="dxa"/>
            <w:tcBorders>
              <w:top w:val="nil"/>
              <w:left w:val="nil"/>
              <w:bottom w:val="single" w:color="auto" w:sz="4" w:space="0"/>
              <w:right w:val="single" w:color="auto" w:sz="4" w:space="0"/>
            </w:tcBorders>
            <w:shd w:val="clear" w:color="auto" w:fill="auto"/>
            <w:noWrap/>
            <w:vAlign w:val="center"/>
          </w:tcPr>
          <w:p w14:paraId="1121D4E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03" w:type="dxa"/>
            <w:tcBorders>
              <w:top w:val="nil"/>
              <w:left w:val="nil"/>
              <w:bottom w:val="single" w:color="auto" w:sz="4" w:space="0"/>
              <w:right w:val="single" w:color="auto" w:sz="4" w:space="0"/>
            </w:tcBorders>
            <w:shd w:val="clear" w:color="auto" w:fill="auto"/>
            <w:noWrap/>
            <w:vAlign w:val="center"/>
          </w:tcPr>
          <w:p w14:paraId="4069A3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C58B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54827A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C3FC9F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293A62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56004A6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2126F7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54AE9DD">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8C5F2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6</w:t>
            </w:r>
          </w:p>
        </w:tc>
        <w:tc>
          <w:tcPr>
            <w:tcW w:w="1391" w:type="dxa"/>
            <w:tcBorders>
              <w:top w:val="nil"/>
              <w:left w:val="nil"/>
              <w:bottom w:val="single" w:color="auto" w:sz="4" w:space="0"/>
              <w:right w:val="single" w:color="auto" w:sz="4" w:space="0"/>
            </w:tcBorders>
            <w:shd w:val="clear" w:color="auto" w:fill="auto"/>
            <w:vAlign w:val="center"/>
          </w:tcPr>
          <w:p w14:paraId="303EA12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交通运输业</w:t>
            </w:r>
          </w:p>
        </w:tc>
        <w:tc>
          <w:tcPr>
            <w:tcW w:w="927" w:type="dxa"/>
            <w:tcBorders>
              <w:top w:val="nil"/>
              <w:left w:val="nil"/>
              <w:bottom w:val="single" w:color="auto" w:sz="4" w:space="0"/>
              <w:right w:val="single" w:color="auto" w:sz="4" w:space="0"/>
            </w:tcBorders>
            <w:shd w:val="clear" w:color="auto" w:fill="auto"/>
            <w:noWrap/>
            <w:vAlign w:val="center"/>
          </w:tcPr>
          <w:p w14:paraId="16B72E5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2CAFBC5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27FAFD7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4D1CDBE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w:t>
            </w:r>
          </w:p>
        </w:tc>
        <w:tc>
          <w:tcPr>
            <w:tcW w:w="907" w:type="dxa"/>
            <w:tcBorders>
              <w:top w:val="nil"/>
              <w:left w:val="nil"/>
              <w:bottom w:val="single" w:color="auto" w:sz="4" w:space="0"/>
              <w:right w:val="single" w:color="auto" w:sz="4" w:space="0"/>
            </w:tcBorders>
            <w:shd w:val="clear" w:color="auto" w:fill="auto"/>
            <w:noWrap/>
            <w:vAlign w:val="center"/>
          </w:tcPr>
          <w:p w14:paraId="18D52C1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49695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CA85E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958" w:type="dxa"/>
            <w:tcBorders>
              <w:top w:val="nil"/>
              <w:left w:val="nil"/>
              <w:bottom w:val="single" w:color="auto" w:sz="4" w:space="0"/>
              <w:right w:val="single" w:color="auto" w:sz="4" w:space="0"/>
            </w:tcBorders>
            <w:shd w:val="clear" w:color="auto" w:fill="auto"/>
            <w:noWrap/>
            <w:vAlign w:val="center"/>
          </w:tcPr>
          <w:p w14:paraId="326DD8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1308F62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36324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197" w:type="dxa"/>
            <w:tcBorders>
              <w:top w:val="nil"/>
              <w:left w:val="nil"/>
              <w:bottom w:val="single" w:color="auto" w:sz="4" w:space="0"/>
              <w:right w:val="single" w:color="auto" w:sz="4" w:space="0"/>
            </w:tcBorders>
            <w:shd w:val="clear" w:color="auto" w:fill="auto"/>
            <w:noWrap/>
            <w:vAlign w:val="center"/>
          </w:tcPr>
          <w:p w14:paraId="26D920A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4E6D58B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EB1A64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6A3C8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7</w:t>
            </w:r>
          </w:p>
        </w:tc>
        <w:tc>
          <w:tcPr>
            <w:tcW w:w="1391" w:type="dxa"/>
            <w:tcBorders>
              <w:top w:val="nil"/>
              <w:left w:val="nil"/>
              <w:bottom w:val="single" w:color="auto" w:sz="4" w:space="0"/>
              <w:right w:val="single" w:color="auto" w:sz="4" w:space="0"/>
            </w:tcBorders>
            <w:shd w:val="clear" w:color="auto" w:fill="auto"/>
            <w:vAlign w:val="center"/>
          </w:tcPr>
          <w:p w14:paraId="664D3222">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仓储业</w:t>
            </w:r>
          </w:p>
        </w:tc>
        <w:tc>
          <w:tcPr>
            <w:tcW w:w="927" w:type="dxa"/>
            <w:tcBorders>
              <w:top w:val="nil"/>
              <w:left w:val="nil"/>
              <w:bottom w:val="single" w:color="auto" w:sz="4" w:space="0"/>
              <w:right w:val="single" w:color="auto" w:sz="4" w:space="0"/>
            </w:tcBorders>
            <w:shd w:val="clear" w:color="auto" w:fill="auto"/>
            <w:noWrap/>
            <w:vAlign w:val="center"/>
          </w:tcPr>
          <w:p w14:paraId="2ABA20C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1059D89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w:t>
            </w:r>
          </w:p>
        </w:tc>
        <w:tc>
          <w:tcPr>
            <w:tcW w:w="1086" w:type="dxa"/>
            <w:tcBorders>
              <w:top w:val="nil"/>
              <w:left w:val="nil"/>
              <w:bottom w:val="single" w:color="auto" w:sz="4" w:space="0"/>
              <w:right w:val="single" w:color="auto" w:sz="4" w:space="0"/>
            </w:tcBorders>
            <w:shd w:val="clear" w:color="auto" w:fill="auto"/>
            <w:noWrap/>
            <w:vAlign w:val="center"/>
          </w:tcPr>
          <w:p w14:paraId="1D45B5A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B088F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2DE740E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3DA5DB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EC7CC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6A15B9F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55046A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C24CEB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44EBD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51EF2F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20CAF3F">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CE8F60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8</w:t>
            </w:r>
          </w:p>
        </w:tc>
        <w:tc>
          <w:tcPr>
            <w:tcW w:w="1391" w:type="dxa"/>
            <w:tcBorders>
              <w:top w:val="nil"/>
              <w:left w:val="nil"/>
              <w:bottom w:val="single" w:color="auto" w:sz="4" w:space="0"/>
              <w:right w:val="single" w:color="auto" w:sz="4" w:space="0"/>
            </w:tcBorders>
            <w:shd w:val="clear" w:color="auto" w:fill="auto"/>
            <w:vAlign w:val="center"/>
          </w:tcPr>
          <w:p w14:paraId="27AA7E4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邮政业</w:t>
            </w:r>
          </w:p>
        </w:tc>
        <w:tc>
          <w:tcPr>
            <w:tcW w:w="927" w:type="dxa"/>
            <w:tcBorders>
              <w:top w:val="nil"/>
              <w:left w:val="nil"/>
              <w:bottom w:val="single" w:color="auto" w:sz="4" w:space="0"/>
              <w:right w:val="single" w:color="auto" w:sz="4" w:space="0"/>
            </w:tcBorders>
            <w:shd w:val="clear" w:color="auto" w:fill="auto"/>
            <w:noWrap/>
            <w:vAlign w:val="center"/>
          </w:tcPr>
          <w:p w14:paraId="05083B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≥30000</w:t>
            </w:r>
          </w:p>
        </w:tc>
        <w:tc>
          <w:tcPr>
            <w:tcW w:w="918" w:type="dxa"/>
            <w:tcBorders>
              <w:top w:val="nil"/>
              <w:left w:val="nil"/>
              <w:bottom w:val="single" w:color="auto" w:sz="4" w:space="0"/>
              <w:right w:val="single" w:color="auto" w:sz="4" w:space="0"/>
            </w:tcBorders>
            <w:shd w:val="clear" w:color="auto" w:fill="auto"/>
            <w:noWrap/>
            <w:vAlign w:val="center"/>
          </w:tcPr>
          <w:p w14:paraId="5527A71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4E0FE9B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DDC250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44B4AEF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61E7909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579EA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3C3BB0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166" w:type="dxa"/>
            <w:tcBorders>
              <w:top w:val="nil"/>
              <w:left w:val="nil"/>
              <w:bottom w:val="single" w:color="auto" w:sz="4" w:space="0"/>
              <w:right w:val="single" w:color="auto" w:sz="4" w:space="0"/>
            </w:tcBorders>
            <w:shd w:val="clear" w:color="auto" w:fill="auto"/>
            <w:noWrap/>
            <w:vAlign w:val="center"/>
          </w:tcPr>
          <w:p w14:paraId="3C032D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B856C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6719AC4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w:t>
            </w:r>
          </w:p>
        </w:tc>
        <w:tc>
          <w:tcPr>
            <w:tcW w:w="1024" w:type="dxa"/>
            <w:tcBorders>
              <w:top w:val="nil"/>
              <w:left w:val="nil"/>
              <w:bottom w:val="single" w:color="auto" w:sz="4" w:space="0"/>
              <w:right w:val="single" w:color="auto" w:sz="4" w:space="0"/>
            </w:tcBorders>
            <w:shd w:val="clear" w:color="auto" w:fill="auto"/>
            <w:noWrap/>
            <w:vAlign w:val="bottom"/>
          </w:tcPr>
          <w:p w14:paraId="18D1496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3E7CABEC">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6EE8B3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9</w:t>
            </w:r>
          </w:p>
        </w:tc>
        <w:tc>
          <w:tcPr>
            <w:tcW w:w="1391" w:type="dxa"/>
            <w:tcBorders>
              <w:top w:val="nil"/>
              <w:left w:val="nil"/>
              <w:bottom w:val="single" w:color="auto" w:sz="4" w:space="0"/>
              <w:right w:val="single" w:color="auto" w:sz="4" w:space="0"/>
            </w:tcBorders>
            <w:shd w:val="clear" w:color="auto" w:fill="auto"/>
            <w:vAlign w:val="center"/>
          </w:tcPr>
          <w:p w14:paraId="6FDD442C">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住宿业</w:t>
            </w:r>
          </w:p>
        </w:tc>
        <w:tc>
          <w:tcPr>
            <w:tcW w:w="927" w:type="dxa"/>
            <w:tcBorders>
              <w:top w:val="nil"/>
              <w:left w:val="nil"/>
              <w:bottom w:val="single" w:color="auto" w:sz="4" w:space="0"/>
              <w:right w:val="single" w:color="auto" w:sz="4" w:space="0"/>
            </w:tcBorders>
            <w:shd w:val="clear" w:color="auto" w:fill="auto"/>
            <w:noWrap/>
            <w:vAlign w:val="center"/>
          </w:tcPr>
          <w:p w14:paraId="1DC8C08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68A5B7D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6D0AFA4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800E5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04AD018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5798262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6E03AC6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704B98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3D037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DA6F2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6CB736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4218C46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8F45DE8">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4C41C3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391" w:type="dxa"/>
            <w:tcBorders>
              <w:top w:val="nil"/>
              <w:left w:val="nil"/>
              <w:bottom w:val="single" w:color="auto" w:sz="4" w:space="0"/>
              <w:right w:val="single" w:color="auto" w:sz="4" w:space="0"/>
            </w:tcBorders>
            <w:shd w:val="clear" w:color="auto" w:fill="auto"/>
            <w:vAlign w:val="center"/>
          </w:tcPr>
          <w:p w14:paraId="70A261C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餐饮业</w:t>
            </w:r>
          </w:p>
        </w:tc>
        <w:tc>
          <w:tcPr>
            <w:tcW w:w="927" w:type="dxa"/>
            <w:tcBorders>
              <w:top w:val="nil"/>
              <w:left w:val="nil"/>
              <w:bottom w:val="single" w:color="auto" w:sz="4" w:space="0"/>
              <w:right w:val="single" w:color="auto" w:sz="4" w:space="0"/>
            </w:tcBorders>
            <w:shd w:val="clear" w:color="auto" w:fill="auto"/>
            <w:noWrap/>
            <w:vAlign w:val="center"/>
          </w:tcPr>
          <w:p w14:paraId="25CC55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3BC1E65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384EA9F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00F040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907" w:type="dxa"/>
            <w:tcBorders>
              <w:top w:val="nil"/>
              <w:left w:val="nil"/>
              <w:bottom w:val="single" w:color="auto" w:sz="4" w:space="0"/>
              <w:right w:val="single" w:color="auto" w:sz="4" w:space="0"/>
            </w:tcBorders>
            <w:shd w:val="clear" w:color="auto" w:fill="auto"/>
            <w:noWrap/>
            <w:vAlign w:val="center"/>
          </w:tcPr>
          <w:p w14:paraId="19A9B93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FFD29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4D7725F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71518B0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5DD9E8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3A9E116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7C03C1C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1DF1154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7502CB3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275185A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11</w:t>
            </w:r>
          </w:p>
        </w:tc>
        <w:tc>
          <w:tcPr>
            <w:tcW w:w="1391" w:type="dxa"/>
            <w:tcBorders>
              <w:top w:val="nil"/>
              <w:left w:val="nil"/>
              <w:bottom w:val="single" w:color="auto" w:sz="4" w:space="0"/>
              <w:right w:val="single" w:color="auto" w:sz="4" w:space="0"/>
            </w:tcBorders>
            <w:shd w:val="clear" w:color="auto" w:fill="auto"/>
            <w:vAlign w:val="center"/>
          </w:tcPr>
          <w:p w14:paraId="7B6C7C6F">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信息传输业</w:t>
            </w:r>
          </w:p>
        </w:tc>
        <w:tc>
          <w:tcPr>
            <w:tcW w:w="927" w:type="dxa"/>
            <w:tcBorders>
              <w:top w:val="nil"/>
              <w:left w:val="nil"/>
              <w:bottom w:val="single" w:color="auto" w:sz="4" w:space="0"/>
              <w:right w:val="single" w:color="auto" w:sz="4" w:space="0"/>
            </w:tcBorders>
            <w:shd w:val="clear" w:color="auto" w:fill="auto"/>
            <w:noWrap/>
            <w:vAlign w:val="center"/>
          </w:tcPr>
          <w:p w14:paraId="6ACC152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≥100000</w:t>
            </w:r>
          </w:p>
        </w:tc>
        <w:tc>
          <w:tcPr>
            <w:tcW w:w="918" w:type="dxa"/>
            <w:tcBorders>
              <w:top w:val="nil"/>
              <w:left w:val="nil"/>
              <w:bottom w:val="single" w:color="auto" w:sz="4" w:space="0"/>
              <w:right w:val="single" w:color="auto" w:sz="4" w:space="0"/>
            </w:tcBorders>
            <w:shd w:val="clear" w:color="auto" w:fill="auto"/>
            <w:noWrap/>
            <w:vAlign w:val="center"/>
          </w:tcPr>
          <w:p w14:paraId="06868B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w:t>
            </w:r>
          </w:p>
        </w:tc>
        <w:tc>
          <w:tcPr>
            <w:tcW w:w="1086" w:type="dxa"/>
            <w:tcBorders>
              <w:top w:val="nil"/>
              <w:left w:val="nil"/>
              <w:bottom w:val="single" w:color="auto" w:sz="4" w:space="0"/>
              <w:right w:val="single" w:color="auto" w:sz="4" w:space="0"/>
            </w:tcBorders>
            <w:shd w:val="clear" w:color="auto" w:fill="auto"/>
            <w:noWrap/>
            <w:vAlign w:val="center"/>
          </w:tcPr>
          <w:p w14:paraId="7A225F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6677A04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CBEFDD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F0F498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54C355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46AFAED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1569358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C5AE55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3B50665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3CD8615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07FED21B">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E5C804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12</w:t>
            </w:r>
          </w:p>
        </w:tc>
        <w:tc>
          <w:tcPr>
            <w:tcW w:w="1391" w:type="dxa"/>
            <w:tcBorders>
              <w:top w:val="nil"/>
              <w:left w:val="nil"/>
              <w:bottom w:val="single" w:color="auto" w:sz="4" w:space="0"/>
              <w:right w:val="single" w:color="auto" w:sz="4" w:space="0"/>
            </w:tcBorders>
            <w:shd w:val="clear" w:color="auto" w:fill="auto"/>
            <w:vAlign w:val="center"/>
          </w:tcPr>
          <w:p w14:paraId="3B618E1B">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软件和信息技术服务业</w:t>
            </w:r>
          </w:p>
        </w:tc>
        <w:tc>
          <w:tcPr>
            <w:tcW w:w="927" w:type="dxa"/>
            <w:tcBorders>
              <w:top w:val="nil"/>
              <w:left w:val="nil"/>
              <w:bottom w:val="single" w:color="auto" w:sz="4" w:space="0"/>
              <w:right w:val="single" w:color="auto" w:sz="4" w:space="0"/>
            </w:tcBorders>
            <w:shd w:val="clear" w:color="auto" w:fill="auto"/>
            <w:noWrap/>
            <w:vAlign w:val="center"/>
          </w:tcPr>
          <w:p w14:paraId="4EF19BE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≥10000</w:t>
            </w:r>
          </w:p>
        </w:tc>
        <w:tc>
          <w:tcPr>
            <w:tcW w:w="918" w:type="dxa"/>
            <w:tcBorders>
              <w:top w:val="nil"/>
              <w:left w:val="nil"/>
              <w:bottom w:val="single" w:color="auto" w:sz="4" w:space="0"/>
              <w:right w:val="single" w:color="auto" w:sz="4" w:space="0"/>
            </w:tcBorders>
            <w:shd w:val="clear" w:color="auto" w:fill="auto"/>
            <w:noWrap/>
            <w:vAlign w:val="center"/>
          </w:tcPr>
          <w:p w14:paraId="1961837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59CCC23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706AD7A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96B5BD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1079B67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8CCA4F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958" w:type="dxa"/>
            <w:tcBorders>
              <w:top w:val="nil"/>
              <w:left w:val="nil"/>
              <w:bottom w:val="single" w:color="auto" w:sz="4" w:space="0"/>
              <w:right w:val="single" w:color="auto" w:sz="4" w:space="0"/>
            </w:tcBorders>
            <w:shd w:val="clear" w:color="auto" w:fill="auto"/>
            <w:noWrap/>
            <w:vAlign w:val="center"/>
          </w:tcPr>
          <w:p w14:paraId="156E46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453B512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F47972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w:t>
            </w:r>
          </w:p>
        </w:tc>
        <w:tc>
          <w:tcPr>
            <w:tcW w:w="1197" w:type="dxa"/>
            <w:tcBorders>
              <w:top w:val="nil"/>
              <w:left w:val="nil"/>
              <w:bottom w:val="single" w:color="auto" w:sz="4" w:space="0"/>
              <w:right w:val="single" w:color="auto" w:sz="4" w:space="0"/>
            </w:tcBorders>
            <w:shd w:val="clear" w:color="auto" w:fill="auto"/>
            <w:noWrap/>
            <w:vAlign w:val="center"/>
          </w:tcPr>
          <w:p w14:paraId="64D1A2B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5AED4F9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4E9B733">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181428B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13</w:t>
            </w:r>
          </w:p>
        </w:tc>
        <w:tc>
          <w:tcPr>
            <w:tcW w:w="1391" w:type="dxa"/>
            <w:tcBorders>
              <w:top w:val="nil"/>
              <w:left w:val="nil"/>
              <w:bottom w:val="single" w:color="auto" w:sz="4" w:space="0"/>
              <w:right w:val="single" w:color="auto" w:sz="4" w:space="0"/>
            </w:tcBorders>
            <w:shd w:val="clear" w:color="auto" w:fill="auto"/>
            <w:vAlign w:val="center"/>
          </w:tcPr>
          <w:p w14:paraId="53FC0B0B">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房地产开发经验</w:t>
            </w:r>
          </w:p>
        </w:tc>
        <w:tc>
          <w:tcPr>
            <w:tcW w:w="927" w:type="dxa"/>
            <w:tcBorders>
              <w:top w:val="nil"/>
              <w:left w:val="nil"/>
              <w:bottom w:val="single" w:color="auto" w:sz="4" w:space="0"/>
              <w:right w:val="single" w:color="auto" w:sz="4" w:space="0"/>
            </w:tcBorders>
            <w:shd w:val="clear" w:color="auto" w:fill="auto"/>
            <w:noWrap/>
            <w:vAlign w:val="center"/>
          </w:tcPr>
          <w:p w14:paraId="1CA3F2D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≥200000</w:t>
            </w:r>
          </w:p>
        </w:tc>
        <w:tc>
          <w:tcPr>
            <w:tcW w:w="918" w:type="dxa"/>
            <w:tcBorders>
              <w:top w:val="nil"/>
              <w:left w:val="nil"/>
              <w:bottom w:val="single" w:color="auto" w:sz="4" w:space="0"/>
              <w:right w:val="single" w:color="auto" w:sz="4" w:space="0"/>
            </w:tcBorders>
            <w:shd w:val="clear" w:color="auto" w:fill="auto"/>
            <w:noWrap/>
            <w:vAlign w:val="center"/>
          </w:tcPr>
          <w:p w14:paraId="433297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86" w:type="dxa"/>
            <w:tcBorders>
              <w:top w:val="nil"/>
              <w:left w:val="nil"/>
              <w:bottom w:val="single" w:color="auto" w:sz="4" w:space="0"/>
              <w:right w:val="single" w:color="auto" w:sz="4" w:space="0"/>
            </w:tcBorders>
            <w:shd w:val="clear" w:color="auto" w:fill="auto"/>
            <w:noWrap/>
            <w:vAlign w:val="center"/>
          </w:tcPr>
          <w:p w14:paraId="05FEB58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或,≥10000</w:t>
            </w:r>
          </w:p>
        </w:tc>
        <w:tc>
          <w:tcPr>
            <w:tcW w:w="992" w:type="dxa"/>
            <w:tcBorders>
              <w:top w:val="nil"/>
              <w:left w:val="nil"/>
              <w:bottom w:val="single" w:color="auto" w:sz="4" w:space="0"/>
              <w:right w:val="single" w:color="auto" w:sz="4" w:space="0"/>
            </w:tcBorders>
            <w:shd w:val="clear" w:color="auto" w:fill="auto"/>
            <w:noWrap/>
            <w:vAlign w:val="center"/>
          </w:tcPr>
          <w:p w14:paraId="14B210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7DD384C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03" w:type="dxa"/>
            <w:tcBorders>
              <w:top w:val="nil"/>
              <w:left w:val="nil"/>
              <w:bottom w:val="single" w:color="auto" w:sz="4" w:space="0"/>
              <w:right w:val="single" w:color="auto" w:sz="4" w:space="0"/>
            </w:tcBorders>
            <w:shd w:val="clear" w:color="auto" w:fill="auto"/>
            <w:noWrap/>
            <w:vAlign w:val="center"/>
          </w:tcPr>
          <w:p w14:paraId="508D7B4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且,≥5000</w:t>
            </w:r>
          </w:p>
        </w:tc>
        <w:tc>
          <w:tcPr>
            <w:tcW w:w="1061" w:type="dxa"/>
            <w:tcBorders>
              <w:top w:val="nil"/>
              <w:left w:val="nil"/>
              <w:bottom w:val="single" w:color="auto" w:sz="4" w:space="0"/>
              <w:right w:val="single" w:color="auto" w:sz="4" w:space="0"/>
            </w:tcBorders>
            <w:shd w:val="clear" w:color="auto" w:fill="auto"/>
            <w:noWrap/>
            <w:vAlign w:val="center"/>
          </w:tcPr>
          <w:p w14:paraId="695A6FD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958" w:type="dxa"/>
            <w:tcBorders>
              <w:top w:val="nil"/>
              <w:left w:val="nil"/>
              <w:bottom w:val="single" w:color="auto" w:sz="4" w:space="0"/>
              <w:right w:val="single" w:color="auto" w:sz="4" w:space="0"/>
            </w:tcBorders>
            <w:shd w:val="clear" w:color="auto" w:fill="auto"/>
            <w:noWrap/>
            <w:vAlign w:val="center"/>
          </w:tcPr>
          <w:p w14:paraId="098667F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66" w:type="dxa"/>
            <w:tcBorders>
              <w:top w:val="nil"/>
              <w:left w:val="nil"/>
              <w:bottom w:val="single" w:color="auto" w:sz="4" w:space="0"/>
              <w:right w:val="single" w:color="auto" w:sz="4" w:space="0"/>
            </w:tcBorders>
            <w:shd w:val="clear" w:color="auto" w:fill="auto"/>
            <w:noWrap/>
            <w:vAlign w:val="center"/>
          </w:tcPr>
          <w:p w14:paraId="2D6D421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且,≥2000</w:t>
            </w:r>
          </w:p>
        </w:tc>
        <w:tc>
          <w:tcPr>
            <w:tcW w:w="1061" w:type="dxa"/>
            <w:tcBorders>
              <w:top w:val="nil"/>
              <w:left w:val="nil"/>
              <w:bottom w:val="single" w:color="auto" w:sz="4" w:space="0"/>
              <w:right w:val="single" w:color="auto" w:sz="4" w:space="0"/>
            </w:tcBorders>
            <w:shd w:val="clear" w:color="auto" w:fill="auto"/>
            <w:noWrap/>
            <w:vAlign w:val="center"/>
          </w:tcPr>
          <w:p w14:paraId="43D5373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97" w:type="dxa"/>
            <w:tcBorders>
              <w:top w:val="nil"/>
              <w:left w:val="nil"/>
              <w:bottom w:val="single" w:color="auto" w:sz="4" w:space="0"/>
              <w:right w:val="single" w:color="auto" w:sz="4" w:space="0"/>
            </w:tcBorders>
            <w:shd w:val="clear" w:color="auto" w:fill="auto"/>
            <w:noWrap/>
            <w:vAlign w:val="center"/>
          </w:tcPr>
          <w:p w14:paraId="0E8724F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24" w:type="dxa"/>
            <w:tcBorders>
              <w:top w:val="nil"/>
              <w:left w:val="nil"/>
              <w:bottom w:val="single" w:color="auto" w:sz="4" w:space="0"/>
              <w:right w:val="single" w:color="auto" w:sz="4" w:space="0"/>
            </w:tcBorders>
            <w:shd w:val="clear" w:color="auto" w:fill="auto"/>
            <w:noWrap/>
            <w:vAlign w:val="center"/>
          </w:tcPr>
          <w:p w14:paraId="53A3D776">
            <w:pPr>
              <w:pageBreakBefore w:val="0"/>
              <w:widowControl/>
              <w:kinsoku/>
              <w:overflowPunct/>
              <w:topLinePunct w:val="0"/>
              <w:bidi w:val="0"/>
              <w:spacing w:line="360" w:lineRule="auto"/>
              <w:ind w:left="27" w:leftChars="-40" w:right="-57" w:rightChars="-27" w:hanging="111" w:hangingChars="53"/>
              <w:jc w:val="center"/>
              <w:rPr>
                <w:rFonts w:ascii="Times New Roman" w:hAnsi="Times New Roman"/>
                <w:color w:val="auto"/>
                <w:kern w:val="0"/>
                <w:szCs w:val="21"/>
                <w:highlight w:val="none"/>
              </w:rPr>
            </w:pPr>
            <w:r>
              <w:rPr>
                <w:rFonts w:ascii="Times New Roman" w:hAnsi="Times New Roman"/>
                <w:color w:val="auto"/>
                <w:kern w:val="0"/>
                <w:szCs w:val="21"/>
                <w:highlight w:val="none"/>
              </w:rPr>
              <w:t>或,＜2000</w:t>
            </w:r>
          </w:p>
        </w:tc>
      </w:tr>
      <w:tr w14:paraId="16915F27">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7BE6C6C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14</w:t>
            </w:r>
          </w:p>
        </w:tc>
        <w:tc>
          <w:tcPr>
            <w:tcW w:w="1391" w:type="dxa"/>
            <w:tcBorders>
              <w:top w:val="nil"/>
              <w:left w:val="nil"/>
              <w:bottom w:val="single" w:color="auto" w:sz="4" w:space="0"/>
              <w:right w:val="single" w:color="auto" w:sz="4" w:space="0"/>
            </w:tcBorders>
            <w:shd w:val="clear" w:color="auto" w:fill="auto"/>
            <w:vAlign w:val="center"/>
          </w:tcPr>
          <w:p w14:paraId="16CDE878">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物业管理</w:t>
            </w:r>
          </w:p>
        </w:tc>
        <w:tc>
          <w:tcPr>
            <w:tcW w:w="927" w:type="dxa"/>
            <w:tcBorders>
              <w:top w:val="nil"/>
              <w:left w:val="nil"/>
              <w:bottom w:val="single" w:color="auto" w:sz="4" w:space="0"/>
              <w:right w:val="single" w:color="auto" w:sz="4" w:space="0"/>
            </w:tcBorders>
            <w:shd w:val="clear" w:color="auto" w:fill="auto"/>
            <w:noWrap/>
            <w:vAlign w:val="center"/>
          </w:tcPr>
          <w:p w14:paraId="7553A5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≥5000</w:t>
            </w:r>
          </w:p>
        </w:tc>
        <w:tc>
          <w:tcPr>
            <w:tcW w:w="918" w:type="dxa"/>
            <w:tcBorders>
              <w:top w:val="nil"/>
              <w:left w:val="nil"/>
              <w:bottom w:val="single" w:color="auto" w:sz="4" w:space="0"/>
              <w:right w:val="single" w:color="auto" w:sz="4" w:space="0"/>
            </w:tcBorders>
            <w:shd w:val="clear" w:color="auto" w:fill="auto"/>
            <w:noWrap/>
            <w:vAlign w:val="center"/>
          </w:tcPr>
          <w:p w14:paraId="237D187E">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1086" w:type="dxa"/>
            <w:tcBorders>
              <w:top w:val="nil"/>
              <w:left w:val="nil"/>
              <w:bottom w:val="single" w:color="auto" w:sz="4" w:space="0"/>
              <w:right w:val="single" w:color="auto" w:sz="4" w:space="0"/>
            </w:tcBorders>
            <w:shd w:val="clear" w:color="auto" w:fill="auto"/>
            <w:noWrap/>
            <w:vAlign w:val="center"/>
          </w:tcPr>
          <w:p w14:paraId="633FA53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0F26DA9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≥1000</w:t>
            </w:r>
          </w:p>
        </w:tc>
        <w:tc>
          <w:tcPr>
            <w:tcW w:w="907" w:type="dxa"/>
            <w:tcBorders>
              <w:top w:val="nil"/>
              <w:left w:val="nil"/>
              <w:bottom w:val="single" w:color="auto" w:sz="4" w:space="0"/>
              <w:right w:val="single" w:color="auto" w:sz="4" w:space="0"/>
            </w:tcBorders>
            <w:shd w:val="clear" w:color="auto" w:fill="auto"/>
            <w:noWrap/>
            <w:vAlign w:val="center"/>
          </w:tcPr>
          <w:p w14:paraId="57BA7EC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103" w:type="dxa"/>
            <w:tcBorders>
              <w:top w:val="nil"/>
              <w:left w:val="nil"/>
              <w:bottom w:val="single" w:color="auto" w:sz="4" w:space="0"/>
              <w:right w:val="single" w:color="auto" w:sz="4" w:space="0"/>
            </w:tcBorders>
            <w:shd w:val="clear" w:color="auto" w:fill="auto"/>
            <w:noWrap/>
            <w:vAlign w:val="center"/>
          </w:tcPr>
          <w:p w14:paraId="3CFD19C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2092D99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958" w:type="dxa"/>
            <w:tcBorders>
              <w:top w:val="nil"/>
              <w:left w:val="nil"/>
              <w:bottom w:val="single" w:color="auto" w:sz="4" w:space="0"/>
              <w:right w:val="single" w:color="auto" w:sz="4" w:space="0"/>
            </w:tcBorders>
            <w:shd w:val="clear" w:color="auto" w:fill="auto"/>
            <w:noWrap/>
            <w:vAlign w:val="center"/>
          </w:tcPr>
          <w:p w14:paraId="69219F0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66" w:type="dxa"/>
            <w:tcBorders>
              <w:top w:val="nil"/>
              <w:left w:val="nil"/>
              <w:bottom w:val="single" w:color="auto" w:sz="4" w:space="0"/>
              <w:right w:val="single" w:color="auto" w:sz="4" w:space="0"/>
            </w:tcBorders>
            <w:shd w:val="clear" w:color="auto" w:fill="auto"/>
            <w:noWrap/>
            <w:vAlign w:val="center"/>
          </w:tcPr>
          <w:p w14:paraId="4060965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082FF4F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＜500</w:t>
            </w:r>
          </w:p>
        </w:tc>
        <w:tc>
          <w:tcPr>
            <w:tcW w:w="1197" w:type="dxa"/>
            <w:tcBorders>
              <w:top w:val="nil"/>
              <w:left w:val="nil"/>
              <w:bottom w:val="single" w:color="auto" w:sz="4" w:space="0"/>
              <w:right w:val="single" w:color="auto" w:sz="4" w:space="0"/>
            </w:tcBorders>
            <w:shd w:val="clear" w:color="auto" w:fill="auto"/>
            <w:noWrap/>
            <w:vAlign w:val="center"/>
          </w:tcPr>
          <w:p w14:paraId="6249EBC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024" w:type="dxa"/>
            <w:tcBorders>
              <w:top w:val="nil"/>
              <w:left w:val="nil"/>
              <w:bottom w:val="single" w:color="auto" w:sz="4" w:space="0"/>
              <w:right w:val="single" w:color="auto" w:sz="4" w:space="0"/>
            </w:tcBorders>
            <w:shd w:val="clear" w:color="auto" w:fill="auto"/>
            <w:noWrap/>
            <w:vAlign w:val="bottom"/>
          </w:tcPr>
          <w:p w14:paraId="676B261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r w14:paraId="2D85FF47">
        <w:tblPrEx>
          <w:tblCellMar>
            <w:top w:w="0" w:type="dxa"/>
            <w:left w:w="108" w:type="dxa"/>
            <w:bottom w:w="0" w:type="dxa"/>
            <w:right w:w="108" w:type="dxa"/>
          </w:tblCellMar>
        </w:tblPrEx>
        <w:trPr>
          <w:trHeight w:val="600"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6F2FBAC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15</w:t>
            </w:r>
          </w:p>
        </w:tc>
        <w:tc>
          <w:tcPr>
            <w:tcW w:w="1391" w:type="dxa"/>
            <w:tcBorders>
              <w:top w:val="nil"/>
              <w:left w:val="nil"/>
              <w:bottom w:val="single" w:color="auto" w:sz="4" w:space="0"/>
              <w:right w:val="single" w:color="auto" w:sz="4" w:space="0"/>
            </w:tcBorders>
            <w:shd w:val="clear" w:color="auto" w:fill="auto"/>
            <w:vAlign w:val="center"/>
          </w:tcPr>
          <w:p w14:paraId="72AF96A0">
            <w:pPr>
              <w:pageBreakBefore w:val="0"/>
              <w:widowControl/>
              <w:kinsoku/>
              <w:overflowPunct/>
              <w:topLinePunct w:val="0"/>
              <w:bidi w:val="0"/>
              <w:spacing w:line="360" w:lineRule="auto"/>
              <w:ind w:left="-84" w:leftChars="-40" w:right="-57" w:rightChars="-27"/>
              <w:jc w:val="left"/>
              <w:rPr>
                <w:rFonts w:ascii="Times New Roman" w:hAnsi="Times New Roman"/>
                <w:color w:val="auto"/>
                <w:kern w:val="0"/>
                <w:szCs w:val="21"/>
                <w:highlight w:val="none"/>
              </w:rPr>
            </w:pPr>
            <w:r>
              <w:rPr>
                <w:rFonts w:ascii="Times New Roman" w:hAnsi="Times New Roman"/>
                <w:color w:val="auto"/>
                <w:kern w:val="0"/>
                <w:szCs w:val="21"/>
                <w:highlight w:val="none"/>
              </w:rPr>
              <w:t>租赁和商务服务业</w:t>
            </w:r>
          </w:p>
        </w:tc>
        <w:tc>
          <w:tcPr>
            <w:tcW w:w="927" w:type="dxa"/>
            <w:tcBorders>
              <w:top w:val="nil"/>
              <w:left w:val="nil"/>
              <w:bottom w:val="single" w:color="auto" w:sz="4" w:space="0"/>
              <w:right w:val="single" w:color="auto" w:sz="4" w:space="0"/>
            </w:tcBorders>
            <w:shd w:val="clear" w:color="auto" w:fill="auto"/>
            <w:noWrap/>
            <w:vAlign w:val="center"/>
          </w:tcPr>
          <w:p w14:paraId="1F67981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6C097C5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20E036D6">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或,≥120000</w:t>
            </w:r>
          </w:p>
        </w:tc>
        <w:tc>
          <w:tcPr>
            <w:tcW w:w="992" w:type="dxa"/>
            <w:tcBorders>
              <w:top w:val="nil"/>
              <w:left w:val="nil"/>
              <w:bottom w:val="single" w:color="auto" w:sz="4" w:space="0"/>
              <w:right w:val="single" w:color="auto" w:sz="4" w:space="0"/>
            </w:tcBorders>
            <w:shd w:val="clear" w:color="auto" w:fill="auto"/>
            <w:noWrap/>
            <w:vAlign w:val="center"/>
          </w:tcPr>
          <w:p w14:paraId="6773753A">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4E43E6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0416A1D9">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且,≥8000</w:t>
            </w:r>
          </w:p>
        </w:tc>
        <w:tc>
          <w:tcPr>
            <w:tcW w:w="1061" w:type="dxa"/>
            <w:tcBorders>
              <w:top w:val="nil"/>
              <w:left w:val="nil"/>
              <w:bottom w:val="single" w:color="auto" w:sz="4" w:space="0"/>
              <w:right w:val="single" w:color="auto" w:sz="4" w:space="0"/>
            </w:tcBorders>
            <w:shd w:val="clear" w:color="auto" w:fill="auto"/>
            <w:noWrap/>
            <w:vAlign w:val="center"/>
          </w:tcPr>
          <w:p w14:paraId="3191559B">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4F84D78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6594955">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且,≥100</w:t>
            </w:r>
          </w:p>
        </w:tc>
        <w:tc>
          <w:tcPr>
            <w:tcW w:w="1061" w:type="dxa"/>
            <w:tcBorders>
              <w:top w:val="nil"/>
              <w:left w:val="nil"/>
              <w:bottom w:val="single" w:color="auto" w:sz="4" w:space="0"/>
              <w:right w:val="single" w:color="auto" w:sz="4" w:space="0"/>
            </w:tcBorders>
            <w:shd w:val="clear" w:color="auto" w:fill="auto"/>
            <w:noWrap/>
            <w:vAlign w:val="center"/>
          </w:tcPr>
          <w:p w14:paraId="1F7ED9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23EE8503">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center"/>
          </w:tcPr>
          <w:p w14:paraId="155B47D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或,＜100</w:t>
            </w:r>
          </w:p>
        </w:tc>
      </w:tr>
      <w:tr w14:paraId="0120EF62">
        <w:tblPrEx>
          <w:tblCellMar>
            <w:top w:w="0" w:type="dxa"/>
            <w:left w:w="108" w:type="dxa"/>
            <w:bottom w:w="0" w:type="dxa"/>
            <w:right w:w="108" w:type="dxa"/>
          </w:tblCellMar>
        </w:tblPrEx>
        <w:trPr>
          <w:trHeight w:val="64" w:hRule="atLeast"/>
        </w:trPr>
        <w:tc>
          <w:tcPr>
            <w:tcW w:w="427" w:type="dxa"/>
            <w:tcBorders>
              <w:top w:val="nil"/>
              <w:left w:val="single" w:color="auto" w:sz="4" w:space="0"/>
              <w:bottom w:val="single" w:color="auto" w:sz="4" w:space="0"/>
              <w:right w:val="single" w:color="auto" w:sz="4" w:space="0"/>
            </w:tcBorders>
            <w:shd w:val="clear" w:color="auto" w:fill="auto"/>
            <w:noWrap/>
            <w:vAlign w:val="center"/>
          </w:tcPr>
          <w:p w14:paraId="34DDB32D">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16</w:t>
            </w:r>
          </w:p>
        </w:tc>
        <w:tc>
          <w:tcPr>
            <w:tcW w:w="1391" w:type="dxa"/>
            <w:tcBorders>
              <w:top w:val="nil"/>
              <w:left w:val="nil"/>
              <w:bottom w:val="single" w:color="auto" w:sz="4" w:space="0"/>
              <w:right w:val="single" w:color="auto" w:sz="4" w:space="0"/>
            </w:tcBorders>
            <w:shd w:val="clear" w:color="auto" w:fill="auto"/>
            <w:vAlign w:val="center"/>
          </w:tcPr>
          <w:p w14:paraId="528310F9">
            <w:pPr>
              <w:pageBreakBefore w:val="0"/>
              <w:widowControl/>
              <w:kinsoku/>
              <w:overflowPunct/>
              <w:topLinePunct w:val="0"/>
              <w:bidi w:val="0"/>
              <w:spacing w:line="360" w:lineRule="auto"/>
              <w:ind w:left="-84" w:leftChars="-40" w:right="-183" w:rightChars="-87"/>
              <w:jc w:val="left"/>
              <w:rPr>
                <w:rFonts w:ascii="Times New Roman" w:hAnsi="Times New Roman"/>
                <w:color w:val="auto"/>
                <w:kern w:val="0"/>
                <w:szCs w:val="21"/>
                <w:highlight w:val="none"/>
              </w:rPr>
            </w:pPr>
            <w:r>
              <w:rPr>
                <w:rFonts w:ascii="Times New Roman" w:hAnsi="Times New Roman"/>
                <w:color w:val="auto"/>
                <w:kern w:val="0"/>
                <w:szCs w:val="21"/>
                <w:highlight w:val="none"/>
              </w:rPr>
              <w:t>其他未列明行业</w:t>
            </w:r>
          </w:p>
        </w:tc>
        <w:tc>
          <w:tcPr>
            <w:tcW w:w="927" w:type="dxa"/>
            <w:tcBorders>
              <w:top w:val="nil"/>
              <w:left w:val="nil"/>
              <w:bottom w:val="single" w:color="auto" w:sz="4" w:space="0"/>
              <w:right w:val="single" w:color="auto" w:sz="4" w:space="0"/>
            </w:tcBorders>
            <w:shd w:val="clear" w:color="auto" w:fill="auto"/>
            <w:noWrap/>
            <w:vAlign w:val="center"/>
          </w:tcPr>
          <w:p w14:paraId="408B83B0">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18" w:type="dxa"/>
            <w:tcBorders>
              <w:top w:val="nil"/>
              <w:left w:val="nil"/>
              <w:bottom w:val="single" w:color="auto" w:sz="4" w:space="0"/>
              <w:right w:val="single" w:color="auto" w:sz="4" w:space="0"/>
            </w:tcBorders>
            <w:shd w:val="clear" w:color="auto" w:fill="auto"/>
            <w:noWrap/>
            <w:vAlign w:val="center"/>
          </w:tcPr>
          <w:p w14:paraId="21EB5EF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≥300</w:t>
            </w:r>
          </w:p>
        </w:tc>
        <w:tc>
          <w:tcPr>
            <w:tcW w:w="1086" w:type="dxa"/>
            <w:tcBorders>
              <w:top w:val="nil"/>
              <w:left w:val="nil"/>
              <w:bottom w:val="single" w:color="auto" w:sz="4" w:space="0"/>
              <w:right w:val="single" w:color="auto" w:sz="4" w:space="0"/>
            </w:tcBorders>
            <w:shd w:val="clear" w:color="auto" w:fill="auto"/>
            <w:noWrap/>
            <w:vAlign w:val="center"/>
          </w:tcPr>
          <w:p w14:paraId="027B0EE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92" w:type="dxa"/>
            <w:tcBorders>
              <w:top w:val="nil"/>
              <w:left w:val="nil"/>
              <w:bottom w:val="single" w:color="auto" w:sz="4" w:space="0"/>
              <w:right w:val="single" w:color="auto" w:sz="4" w:space="0"/>
            </w:tcBorders>
            <w:shd w:val="clear" w:color="auto" w:fill="auto"/>
            <w:noWrap/>
            <w:vAlign w:val="center"/>
          </w:tcPr>
          <w:p w14:paraId="3F54F47F">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07" w:type="dxa"/>
            <w:tcBorders>
              <w:top w:val="nil"/>
              <w:left w:val="nil"/>
              <w:bottom w:val="single" w:color="auto" w:sz="4" w:space="0"/>
              <w:right w:val="single" w:color="auto" w:sz="4" w:space="0"/>
            </w:tcBorders>
            <w:shd w:val="clear" w:color="auto" w:fill="auto"/>
            <w:noWrap/>
            <w:vAlign w:val="center"/>
          </w:tcPr>
          <w:p w14:paraId="7C83F48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≥100</w:t>
            </w:r>
          </w:p>
        </w:tc>
        <w:tc>
          <w:tcPr>
            <w:tcW w:w="1103" w:type="dxa"/>
            <w:tcBorders>
              <w:top w:val="nil"/>
              <w:left w:val="nil"/>
              <w:bottom w:val="single" w:color="auto" w:sz="4" w:space="0"/>
              <w:right w:val="single" w:color="auto" w:sz="4" w:space="0"/>
            </w:tcBorders>
            <w:shd w:val="clear" w:color="auto" w:fill="auto"/>
            <w:noWrap/>
            <w:vAlign w:val="center"/>
          </w:tcPr>
          <w:p w14:paraId="70E52A87">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1F25587C">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958" w:type="dxa"/>
            <w:tcBorders>
              <w:top w:val="nil"/>
              <w:left w:val="nil"/>
              <w:bottom w:val="single" w:color="auto" w:sz="4" w:space="0"/>
              <w:right w:val="single" w:color="auto" w:sz="4" w:space="0"/>
            </w:tcBorders>
            <w:shd w:val="clear" w:color="auto" w:fill="auto"/>
            <w:noWrap/>
            <w:vAlign w:val="center"/>
          </w:tcPr>
          <w:p w14:paraId="336FA082">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166" w:type="dxa"/>
            <w:tcBorders>
              <w:top w:val="nil"/>
              <w:left w:val="nil"/>
              <w:bottom w:val="single" w:color="auto" w:sz="4" w:space="0"/>
              <w:right w:val="single" w:color="auto" w:sz="4" w:space="0"/>
            </w:tcBorders>
            <w:shd w:val="clear" w:color="auto" w:fill="auto"/>
            <w:noWrap/>
            <w:vAlign w:val="center"/>
          </w:tcPr>
          <w:p w14:paraId="34413F9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061" w:type="dxa"/>
            <w:tcBorders>
              <w:top w:val="nil"/>
              <w:left w:val="nil"/>
              <w:bottom w:val="single" w:color="auto" w:sz="4" w:space="0"/>
              <w:right w:val="single" w:color="auto" w:sz="4" w:space="0"/>
            </w:tcBorders>
            <w:shd w:val="clear" w:color="auto" w:fill="auto"/>
            <w:noWrap/>
            <w:vAlign w:val="center"/>
          </w:tcPr>
          <w:p w14:paraId="72112D78">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c>
          <w:tcPr>
            <w:tcW w:w="1197" w:type="dxa"/>
            <w:tcBorders>
              <w:top w:val="nil"/>
              <w:left w:val="nil"/>
              <w:bottom w:val="single" w:color="auto" w:sz="4" w:space="0"/>
              <w:right w:val="single" w:color="auto" w:sz="4" w:space="0"/>
            </w:tcBorders>
            <w:shd w:val="clear" w:color="auto" w:fill="auto"/>
            <w:noWrap/>
            <w:vAlign w:val="center"/>
          </w:tcPr>
          <w:p w14:paraId="7167F901">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＜10</w:t>
            </w:r>
          </w:p>
        </w:tc>
        <w:tc>
          <w:tcPr>
            <w:tcW w:w="1024" w:type="dxa"/>
            <w:tcBorders>
              <w:top w:val="nil"/>
              <w:left w:val="nil"/>
              <w:bottom w:val="single" w:color="auto" w:sz="4" w:space="0"/>
              <w:right w:val="single" w:color="auto" w:sz="4" w:space="0"/>
            </w:tcBorders>
            <w:shd w:val="clear" w:color="auto" w:fill="auto"/>
            <w:noWrap/>
            <w:vAlign w:val="bottom"/>
          </w:tcPr>
          <w:p w14:paraId="007ECEA4">
            <w:pPr>
              <w:pageBreakBefore w:val="0"/>
              <w:widowControl/>
              <w:kinsoku/>
              <w:overflowPunct/>
              <w:topLinePunct w:val="0"/>
              <w:bidi w:val="0"/>
              <w:spacing w:line="360" w:lineRule="auto"/>
              <w:ind w:left="-84" w:leftChars="-40" w:right="-57" w:rightChars="-27"/>
              <w:jc w:val="center"/>
              <w:rPr>
                <w:rFonts w:ascii="Times New Roman" w:hAnsi="Times New Roman"/>
                <w:color w:val="auto"/>
                <w:kern w:val="0"/>
                <w:szCs w:val="21"/>
                <w:highlight w:val="none"/>
              </w:rPr>
            </w:pPr>
            <w:r>
              <w:rPr>
                <w:rFonts w:ascii="Times New Roman" w:hAnsi="Times New Roman"/>
                <w:color w:val="auto"/>
                <w:kern w:val="0"/>
                <w:szCs w:val="21"/>
                <w:highlight w:val="none"/>
              </w:rPr>
              <w:t>　</w:t>
            </w:r>
          </w:p>
        </w:tc>
      </w:tr>
    </w:tbl>
    <w:p w14:paraId="2084335D">
      <w:pPr>
        <w:pageBreakBefore w:val="0"/>
        <w:kinsoku/>
        <w:overflowPunct/>
        <w:topLinePunct w:val="0"/>
        <w:bidi w:val="0"/>
        <w:spacing w:line="360" w:lineRule="auto"/>
        <w:rPr>
          <w:rFonts w:ascii="Times New Roman" w:hAnsi="Times New Roman"/>
          <w:color w:val="auto"/>
          <w:sz w:val="24"/>
          <w:highlight w:val="none"/>
        </w:rPr>
        <w:sectPr>
          <w:pgSz w:w="16838" w:h="11906" w:orient="landscape"/>
          <w:pgMar w:top="1418" w:right="1418" w:bottom="1418" w:left="1418" w:header="851" w:footer="992" w:gutter="0"/>
          <w:cols w:space="425" w:num="1"/>
          <w:docGrid w:linePitch="312" w:charSpace="0"/>
        </w:sectPr>
      </w:pPr>
    </w:p>
    <w:p w14:paraId="24D6F42D">
      <w:pPr>
        <w:pageBreakBefore w:val="0"/>
        <w:kinsoku/>
        <w:overflowPunct/>
        <w:topLinePunct w:val="0"/>
        <w:bidi w:val="0"/>
        <w:adjustRightInd w:val="0"/>
        <w:snapToGrid w:val="0"/>
        <w:spacing w:line="360" w:lineRule="auto"/>
        <w:outlineLvl w:val="0"/>
        <w:rPr>
          <w:rFonts w:ascii="楷体_GB2312" w:hAnsi="Times New Roman" w:eastAsia="楷体_GB2312"/>
          <w:b/>
          <w:color w:val="auto"/>
          <w:sz w:val="28"/>
          <w:szCs w:val="28"/>
          <w:highlight w:val="none"/>
        </w:rPr>
      </w:pP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2</w:t>
      </w:r>
    </w:p>
    <w:p w14:paraId="3A8561E9">
      <w:pPr>
        <w:pageBreakBefore w:val="0"/>
        <w:kinsoku/>
        <w:overflowPunct/>
        <w:topLinePunct w:val="0"/>
        <w:bidi w:val="0"/>
        <w:spacing w:beforeLines="50" w:line="360" w:lineRule="auto"/>
        <w:jc w:val="center"/>
        <w:rPr>
          <w:rFonts w:ascii="Times New Roman" w:hAnsi="Times New Roman" w:eastAsia="方正小标宋简体"/>
          <w:color w:val="auto"/>
          <w:spacing w:val="6"/>
          <w:sz w:val="40"/>
          <w:szCs w:val="40"/>
          <w:highlight w:val="none"/>
        </w:rPr>
      </w:pPr>
      <w:r>
        <w:rPr>
          <w:rFonts w:ascii="Times New Roman" w:hAnsi="Times New Roman" w:eastAsia="方正小标宋简体"/>
          <w:color w:val="auto"/>
          <w:spacing w:val="6"/>
          <w:sz w:val="40"/>
          <w:szCs w:val="40"/>
          <w:highlight w:val="none"/>
        </w:rPr>
        <w:t>残疾人福利性单位声明函</w:t>
      </w:r>
    </w:p>
    <w:p w14:paraId="0F7D34E1">
      <w:pPr>
        <w:pageBreakBefore w:val="0"/>
        <w:kinsoku/>
        <w:overflowPunct/>
        <w:topLinePunct w:val="0"/>
        <w:bidi w:val="0"/>
        <w:spacing w:line="360" w:lineRule="auto"/>
        <w:ind w:firstLine="626"/>
        <w:rPr>
          <w:rFonts w:ascii="Times New Roman" w:hAnsi="Times New Roman" w:eastAsia="仿宋_GB2312"/>
          <w:b/>
          <w:color w:val="auto"/>
          <w:spacing w:val="6"/>
          <w:sz w:val="30"/>
          <w:szCs w:val="30"/>
          <w:highlight w:val="none"/>
        </w:rPr>
      </w:pPr>
    </w:p>
    <w:p w14:paraId="09CD6F1F">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本单位郑重声明，根据《财政部民政部中国残疾人联合会关于促进残疾人就业政府采购政策的通知》（财库</w:t>
      </w:r>
      <w:r>
        <w:rPr>
          <w:rFonts w:ascii="宋体" w:hAnsi="宋体"/>
          <w:color w:val="auto"/>
          <w:sz w:val="24"/>
          <w:szCs w:val="24"/>
          <w:highlight w:val="none"/>
        </w:rPr>
        <w:t>〔2017〕141</w:t>
      </w:r>
      <w:r>
        <w:rPr>
          <w:rFonts w:ascii="宋体" w:hAnsi="宋体"/>
          <w:color w:val="auto"/>
          <w:spacing w:val="6"/>
          <w:sz w:val="24"/>
          <w:szCs w:val="24"/>
          <w:highlight w:val="none"/>
        </w:rPr>
        <w:t>号）的规定，本单位为符合条件的残疾人福利性单位，且本单位参加</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单位的</w:t>
      </w:r>
      <w:r>
        <w:rPr>
          <w:rFonts w:ascii="宋体" w:hAnsi="宋体"/>
          <w:color w:val="auto"/>
          <w:spacing w:val="6"/>
          <w:sz w:val="24"/>
          <w:szCs w:val="24"/>
          <w:highlight w:val="none"/>
          <w:u w:val="single"/>
        </w:rPr>
        <w:t>___</w:t>
      </w:r>
      <w:r>
        <w:rPr>
          <w:rFonts w:hint="eastAsia" w:ascii="宋体" w:hAnsi="宋体"/>
          <w:color w:val="auto"/>
          <w:spacing w:val="6"/>
          <w:sz w:val="24"/>
          <w:szCs w:val="24"/>
          <w:highlight w:val="none"/>
          <w:u w:val="single"/>
        </w:rPr>
        <w:t xml:space="preserve">   </w:t>
      </w:r>
      <w:r>
        <w:rPr>
          <w:rFonts w:ascii="宋体" w:hAnsi="宋体"/>
          <w:color w:val="auto"/>
          <w:spacing w:val="6"/>
          <w:sz w:val="24"/>
          <w:szCs w:val="24"/>
          <w:highlight w:val="none"/>
          <w:u w:val="single"/>
        </w:rPr>
        <w:t>___</w:t>
      </w:r>
      <w:r>
        <w:rPr>
          <w:rFonts w:ascii="宋体" w:hAnsi="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73DD7B82">
      <w:pPr>
        <w:pageBreakBefore w:val="0"/>
        <w:kinsoku/>
        <w:overflowPunct/>
        <w:topLinePunct w:val="0"/>
        <w:bidi w:val="0"/>
        <w:spacing w:line="360" w:lineRule="auto"/>
        <w:ind w:firstLine="504" w:firstLineChars="200"/>
        <w:rPr>
          <w:rFonts w:ascii="宋体" w:hAnsi="宋体"/>
          <w:color w:val="auto"/>
          <w:spacing w:val="6"/>
          <w:sz w:val="24"/>
          <w:szCs w:val="24"/>
          <w:highlight w:val="none"/>
        </w:rPr>
      </w:pPr>
      <w:r>
        <w:rPr>
          <w:rFonts w:ascii="宋体" w:hAnsi="宋体"/>
          <w:color w:val="auto"/>
          <w:spacing w:val="6"/>
          <w:sz w:val="24"/>
          <w:szCs w:val="24"/>
          <w:highlight w:val="none"/>
        </w:rPr>
        <w:t>本单位对上述声明的真实性负责。如有虚假，将依法承担相应责任。</w:t>
      </w:r>
    </w:p>
    <w:p w14:paraId="0C497F0C">
      <w:pPr>
        <w:pageBreakBefore w:val="0"/>
        <w:kinsoku/>
        <w:overflowPunct/>
        <w:topLinePunct w:val="0"/>
        <w:bidi w:val="0"/>
        <w:spacing w:line="360" w:lineRule="auto"/>
        <w:rPr>
          <w:rFonts w:ascii="宋体" w:hAnsi="宋体"/>
          <w:color w:val="auto"/>
          <w:spacing w:val="6"/>
          <w:sz w:val="24"/>
          <w:szCs w:val="24"/>
          <w:highlight w:val="none"/>
        </w:rPr>
      </w:pPr>
    </w:p>
    <w:p w14:paraId="7AF10B3D">
      <w:pPr>
        <w:pageBreakBefore w:val="0"/>
        <w:kinsoku/>
        <w:overflowPunct/>
        <w:topLinePunct w:val="0"/>
        <w:bidi w:val="0"/>
        <w:spacing w:line="360" w:lineRule="auto"/>
        <w:rPr>
          <w:rFonts w:ascii="宋体" w:hAnsi="宋体"/>
          <w:color w:val="auto"/>
          <w:spacing w:val="6"/>
          <w:sz w:val="24"/>
          <w:szCs w:val="24"/>
          <w:highlight w:val="none"/>
        </w:rPr>
      </w:pPr>
    </w:p>
    <w:p w14:paraId="4E38A91D">
      <w:pPr>
        <w:pageBreakBefore w:val="0"/>
        <w:tabs>
          <w:tab w:val="left" w:pos="4860"/>
        </w:tabs>
        <w:kinsoku/>
        <w:overflowPunct/>
        <w:topLinePunct w:val="0"/>
        <w:bidi w:val="0"/>
        <w:spacing w:line="360" w:lineRule="auto"/>
        <w:ind w:firstLine="4284" w:firstLineChars="1700"/>
        <w:rPr>
          <w:rFonts w:ascii="宋体" w:hAnsi="宋体"/>
          <w:color w:val="auto"/>
          <w:spacing w:val="6"/>
          <w:sz w:val="24"/>
          <w:szCs w:val="24"/>
          <w:highlight w:val="none"/>
        </w:rPr>
      </w:pPr>
      <w:r>
        <w:rPr>
          <w:rFonts w:ascii="宋体" w:hAnsi="宋体"/>
          <w:color w:val="auto"/>
          <w:spacing w:val="6"/>
          <w:sz w:val="24"/>
          <w:szCs w:val="24"/>
          <w:highlight w:val="none"/>
        </w:rPr>
        <w:t>单位名称（盖章）：</w:t>
      </w:r>
    </w:p>
    <w:p w14:paraId="63A16E56">
      <w:pPr>
        <w:pageBreakBefore w:val="0"/>
        <w:tabs>
          <w:tab w:val="left" w:pos="4860"/>
        </w:tabs>
        <w:kinsoku/>
        <w:overflowPunct/>
        <w:topLinePunct w:val="0"/>
        <w:bidi w:val="0"/>
        <w:spacing w:line="360" w:lineRule="auto"/>
        <w:ind w:firstLine="4284" w:firstLineChars="1700"/>
        <w:rPr>
          <w:rFonts w:ascii="Times New Roman" w:hAnsi="Times New Roman" w:eastAsia="仿宋_GB2312"/>
          <w:color w:val="auto"/>
          <w:spacing w:val="6"/>
          <w:sz w:val="30"/>
          <w:szCs w:val="30"/>
          <w:highlight w:val="none"/>
        </w:rPr>
      </w:pPr>
      <w:r>
        <w:rPr>
          <w:rFonts w:ascii="宋体" w:hAnsi="宋体"/>
          <w:color w:val="auto"/>
          <w:spacing w:val="6"/>
          <w:sz w:val="24"/>
          <w:szCs w:val="24"/>
          <w:highlight w:val="none"/>
        </w:rPr>
        <w:t>日</w:t>
      </w:r>
      <w:r>
        <w:rPr>
          <w:rFonts w:hint="eastAsia" w:ascii="宋体" w:hAnsi="宋体"/>
          <w:color w:val="auto"/>
          <w:spacing w:val="6"/>
          <w:sz w:val="24"/>
          <w:szCs w:val="24"/>
          <w:highlight w:val="none"/>
        </w:rPr>
        <w:t xml:space="preserve">  </w:t>
      </w:r>
      <w:r>
        <w:rPr>
          <w:rFonts w:ascii="宋体" w:hAnsi="宋体"/>
          <w:color w:val="auto"/>
          <w:spacing w:val="6"/>
          <w:sz w:val="24"/>
          <w:szCs w:val="24"/>
          <w:highlight w:val="none"/>
        </w:rPr>
        <w:t>期：</w:t>
      </w:r>
    </w:p>
    <w:p w14:paraId="15475318">
      <w:pPr>
        <w:pageBreakBefore w:val="0"/>
        <w:kinsoku/>
        <w:overflowPunct/>
        <w:topLinePunct w:val="0"/>
        <w:bidi w:val="0"/>
        <w:adjustRightInd w:val="0"/>
        <w:snapToGrid w:val="0"/>
        <w:spacing w:line="360" w:lineRule="auto"/>
        <w:outlineLvl w:val="0"/>
        <w:rPr>
          <w:rFonts w:ascii="Times New Roman" w:hAnsi="Times New Roman" w:eastAsia="楷体_GB2312"/>
          <w:bCs/>
          <w:color w:val="auto"/>
          <w:sz w:val="32"/>
          <w:szCs w:val="32"/>
          <w:highlight w:val="none"/>
        </w:rPr>
      </w:pPr>
      <w:r>
        <w:rPr>
          <w:rFonts w:ascii="Times New Roman" w:hAnsi="Times New Roman"/>
          <w:bCs/>
          <w:color w:val="auto"/>
          <w:sz w:val="32"/>
          <w:szCs w:val="32"/>
          <w:highlight w:val="none"/>
        </w:rPr>
        <w:br w:type="page"/>
      </w:r>
      <w:r>
        <w:rPr>
          <w:rFonts w:ascii="楷体_GB2312" w:hAnsi="Times New Roman" w:eastAsia="楷体_GB2312"/>
          <w:b/>
          <w:color w:val="auto"/>
          <w:sz w:val="28"/>
          <w:szCs w:val="28"/>
          <w:highlight w:val="none"/>
        </w:rPr>
        <w:t>附件</w:t>
      </w:r>
      <w:r>
        <w:rPr>
          <w:rFonts w:hint="eastAsia" w:ascii="楷体_GB2312" w:hAnsi="Times New Roman" w:eastAsia="楷体_GB2312"/>
          <w:b/>
          <w:color w:val="auto"/>
          <w:sz w:val="28"/>
          <w:szCs w:val="28"/>
          <w:highlight w:val="none"/>
        </w:rPr>
        <w:t>十三—</w:t>
      </w:r>
      <w:r>
        <w:rPr>
          <w:rFonts w:ascii="Times New Roman" w:hAnsi="Times New Roman" w:eastAsia="楷体_GB2312"/>
          <w:b/>
          <w:color w:val="auto"/>
          <w:sz w:val="28"/>
          <w:szCs w:val="28"/>
          <w:highlight w:val="none"/>
        </w:rPr>
        <w:t>3</w:t>
      </w:r>
    </w:p>
    <w:p w14:paraId="35C2780D">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bCs/>
          <w:color w:val="auto"/>
          <w:sz w:val="40"/>
          <w:szCs w:val="40"/>
          <w:highlight w:val="none"/>
        </w:rPr>
      </w:pPr>
      <w:r>
        <w:rPr>
          <w:rFonts w:ascii="Times New Roman" w:hAnsi="Times New Roman" w:eastAsia="方正小标宋简体"/>
          <w:bCs/>
          <w:color w:val="auto"/>
          <w:sz w:val="40"/>
          <w:szCs w:val="40"/>
          <w:highlight w:val="none"/>
        </w:rPr>
        <w:t>省级以上监狱管理局、戒毒管理局（含新疆生产建设兵团）出具的属于监狱企业的证明文件</w:t>
      </w:r>
      <w:r>
        <w:rPr>
          <w:rFonts w:ascii="Times New Roman" w:hAnsi="Times New Roman" w:eastAsia="方正小标宋简体"/>
          <w:bCs/>
          <w:color w:val="auto"/>
          <w:sz w:val="40"/>
          <w:szCs w:val="40"/>
          <w:highlight w:val="none"/>
        </w:rPr>
        <w:br w:type="textWrapping"/>
      </w:r>
      <w:r>
        <w:rPr>
          <w:rFonts w:ascii="Times New Roman" w:hAnsi="Times New Roman" w:eastAsia="方正小标宋简体"/>
          <w:bCs/>
          <w:color w:val="auto"/>
          <w:sz w:val="40"/>
          <w:szCs w:val="40"/>
          <w:highlight w:val="none"/>
        </w:rPr>
        <w:br w:type="textWrapping"/>
      </w:r>
    </w:p>
    <w:p w14:paraId="61D68E0D">
      <w:pPr>
        <w:pageBreakBefore w:val="0"/>
        <w:widowControl/>
        <w:kinsoku/>
        <w:overflowPunct/>
        <w:topLinePunct w:val="0"/>
        <w:bidi w:val="0"/>
        <w:spacing w:line="360" w:lineRule="auto"/>
        <w:jc w:val="left"/>
        <w:rPr>
          <w:rFonts w:ascii="Times New Roman" w:hAnsi="Times New Roman"/>
          <w:bCs/>
          <w:color w:val="auto"/>
          <w:sz w:val="32"/>
          <w:szCs w:val="32"/>
          <w:highlight w:val="none"/>
        </w:rPr>
      </w:pPr>
      <w:r>
        <w:rPr>
          <w:rFonts w:ascii="Times New Roman" w:hAnsi="Times New Roman"/>
          <w:bCs/>
          <w:color w:val="auto"/>
          <w:sz w:val="32"/>
          <w:szCs w:val="32"/>
          <w:highlight w:val="none"/>
        </w:rPr>
        <w:br w:type="page"/>
      </w:r>
    </w:p>
    <w:p w14:paraId="05736B7C">
      <w:pPr>
        <w:pageBreakBefore w:val="0"/>
        <w:tabs>
          <w:tab w:val="left" w:pos="7665"/>
        </w:tabs>
        <w:kinsoku/>
        <w:overflowPunct/>
        <w:topLinePunct w:val="0"/>
        <w:bidi w:val="0"/>
        <w:spacing w:beforeLines="50" w:line="360" w:lineRule="auto"/>
        <w:jc w:val="center"/>
        <w:outlineLvl w:val="1"/>
        <w:rPr>
          <w:rFonts w:ascii="Times New Roman" w:hAnsi="Times New Roman" w:eastAsia="方正小标宋简体"/>
          <w:color w:val="auto"/>
          <w:sz w:val="40"/>
          <w:szCs w:val="40"/>
          <w:highlight w:val="none"/>
        </w:rPr>
      </w:pPr>
      <w:r>
        <w:rPr>
          <w:rFonts w:ascii="Times New Roman" w:hAnsi="Times New Roman" w:eastAsia="方正小标宋简体"/>
          <w:bCs/>
          <w:color w:val="auto"/>
          <w:sz w:val="40"/>
          <w:szCs w:val="40"/>
          <w:highlight w:val="none"/>
        </w:rPr>
        <w:t>其他资格证明文件及资料</w:t>
      </w:r>
    </w:p>
    <w:p w14:paraId="1AF51F38">
      <w:pPr>
        <w:pageBreakBefore w:val="0"/>
        <w:kinsoku/>
        <w:overflowPunct/>
        <w:topLinePunct w:val="0"/>
        <w:bidi w:val="0"/>
        <w:spacing w:line="360" w:lineRule="auto"/>
        <w:rPr>
          <w:rFonts w:ascii="Times New Roman" w:hAnsi="Times New Roman"/>
          <w:color w:val="auto"/>
          <w:sz w:val="24"/>
          <w:highlight w:val="none"/>
        </w:rPr>
      </w:pPr>
    </w:p>
    <w:p w14:paraId="08C0F7DC">
      <w:pPr>
        <w:pageBreakBefore w:val="0"/>
        <w:kinsoku/>
        <w:overflowPunct/>
        <w:topLinePunct w:val="0"/>
        <w:bidi w:val="0"/>
        <w:spacing w:line="360" w:lineRule="auto"/>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Heiti SC Light">
    <w:altName w:val="Segoe Print"/>
    <w:panose1 w:val="00000000000000000000"/>
    <w:charset w:val="5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10002FF" w:usb1="4000FCFF" w:usb2="00000009" w:usb3="00000000" w:csb0="6000019F" w:csb1="DFD7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等线">
    <w:altName w:val="Arial Unicode MS"/>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38090">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17FB9">
    <w:pPr>
      <w:framePr w:wrap="around" w:vAnchor="text" w:hAnchor="margin" w:xAlign="center" w:y="1"/>
    </w:pPr>
    <w:r>
      <w:fldChar w:fldCharType="begin"/>
    </w:r>
    <w:r>
      <w:instrText xml:space="preserve">PAGE  </w:instrText>
    </w:r>
    <w:r>
      <w:fldChar w:fldCharType="separate"/>
    </w:r>
    <w:r>
      <w:t>22</w:t>
    </w:r>
    <w:r>
      <w:fldChar w:fldCharType="end"/>
    </w:r>
  </w:p>
  <w:p w14:paraId="756980C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FB93A">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CCAB0">
    <w:pPr>
      <w:rPr>
        <w:rFonts w:ascii="仿宋_GB2312" w:eastAsia="仿宋_GB23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81FC2">
    <w:pPr>
      <w:rPr>
        <w:rFonts w:ascii="仿宋_GB2312"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620A1B"/>
    <w:multiLevelType w:val="singleLevel"/>
    <w:tmpl w:val="FB620A1B"/>
    <w:lvl w:ilvl="0" w:tentative="0">
      <w:start w:val="2"/>
      <w:numFmt w:val="decimal"/>
      <w:suff w:val="nothing"/>
      <w:lvlText w:val="%1、"/>
      <w:lvlJc w:val="left"/>
    </w:lvl>
  </w:abstractNum>
  <w:abstractNum w:abstractNumId="1">
    <w:nsid w:val="FFFFFF89"/>
    <w:multiLevelType w:val="singleLevel"/>
    <w:tmpl w:val="FFFFFF89"/>
    <w:lvl w:ilvl="0" w:tentative="0">
      <w:start w:val="1"/>
      <w:numFmt w:val="bullet"/>
      <w:pStyle w:val="13"/>
      <w:lvlText w:val=""/>
      <w:lvlJc w:val="left"/>
      <w:pPr>
        <w:tabs>
          <w:tab w:val="left" w:pos="360"/>
        </w:tabs>
        <w:ind w:left="360" w:hanging="360" w:hangingChars="200"/>
      </w:pPr>
      <w:rPr>
        <w:rFonts w:hint="default" w:ascii="Wingdings" w:hAnsi="Wingdings"/>
      </w:rPr>
    </w:lvl>
  </w:abstractNum>
  <w:abstractNum w:abstractNumId="2">
    <w:nsid w:val="26529AD3"/>
    <w:multiLevelType w:val="singleLevel"/>
    <w:tmpl w:val="26529AD3"/>
    <w:lvl w:ilvl="0" w:tentative="0">
      <w:start w:val="1"/>
      <w:numFmt w:val="decimal"/>
      <w:suff w:val="nothing"/>
      <w:lvlText w:val="（%1）"/>
      <w:lvlJc w:val="left"/>
    </w:lvl>
  </w:abstractNum>
  <w:abstractNum w:abstractNumId="3">
    <w:nsid w:val="3C9C93F1"/>
    <w:multiLevelType w:val="singleLevel"/>
    <w:tmpl w:val="3C9C93F1"/>
    <w:lvl w:ilvl="0" w:tentative="0">
      <w:start w:val="2"/>
      <w:numFmt w:val="decimal"/>
      <w:suff w:val="nothing"/>
      <w:lvlText w:val="%1、"/>
      <w:lvlJc w:val="left"/>
    </w:lvl>
  </w:abstractNum>
  <w:abstractNum w:abstractNumId="4">
    <w:nsid w:val="420C153B"/>
    <w:multiLevelType w:val="multilevel"/>
    <w:tmpl w:val="420C153B"/>
    <w:lvl w:ilvl="0" w:tentative="0">
      <w:start w:val="1"/>
      <w:numFmt w:val="decimal"/>
      <w:pStyle w:val="12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45C42C9A"/>
    <w:multiLevelType w:val="multilevel"/>
    <w:tmpl w:val="45C42C9A"/>
    <w:lvl w:ilvl="0" w:tentative="0">
      <w:start w:val="1"/>
      <w:numFmt w:val="decimal"/>
      <w:pStyle w:val="3"/>
      <w:lvlText w:val="%1"/>
      <w:lvlJc w:val="left"/>
      <w:pPr>
        <w:tabs>
          <w:tab w:val="left" w:pos="432"/>
        </w:tabs>
        <w:ind w:left="432" w:hanging="432"/>
      </w:pPr>
    </w:lvl>
    <w:lvl w:ilvl="1" w:tentative="0">
      <w:start w:val="1"/>
      <w:numFmt w:val="decimal"/>
      <w:pStyle w:val="4"/>
      <w:lvlText w:val="%1.%2"/>
      <w:lvlJc w:val="left"/>
      <w:pPr>
        <w:tabs>
          <w:tab w:val="left" w:pos="576"/>
        </w:tabs>
        <w:ind w:left="576" w:hanging="576"/>
      </w:pPr>
    </w:lvl>
    <w:lvl w:ilvl="2" w:tentative="0">
      <w:start w:val="1"/>
      <w:numFmt w:val="decimal"/>
      <w:pStyle w:val="5"/>
      <w:lvlText w:val="%1.%2.%3"/>
      <w:lvlJc w:val="left"/>
      <w:pPr>
        <w:tabs>
          <w:tab w:val="left" w:pos="1260"/>
        </w:tabs>
        <w:ind w:left="1260" w:hanging="720"/>
      </w:pPr>
    </w:lvl>
    <w:lvl w:ilvl="3" w:tentative="0">
      <w:start w:val="1"/>
      <w:numFmt w:val="decimal"/>
      <w:pStyle w:val="6"/>
      <w:lvlText w:val="%1.%2.%3.%4"/>
      <w:lvlJc w:val="left"/>
      <w:pPr>
        <w:tabs>
          <w:tab w:val="left" w:pos="864"/>
        </w:tabs>
        <w:ind w:left="864" w:hanging="864"/>
      </w:pPr>
    </w:lvl>
    <w:lvl w:ilvl="4" w:tentative="0">
      <w:start w:val="1"/>
      <w:numFmt w:val="decimal"/>
      <w:pStyle w:val="7"/>
      <w:lvlText w:val="%1.%2.%3.%4.%5"/>
      <w:lvlJc w:val="left"/>
      <w:pPr>
        <w:tabs>
          <w:tab w:val="left" w:pos="1008"/>
        </w:tabs>
        <w:ind w:left="1008" w:hanging="1008"/>
      </w:pPr>
    </w:lvl>
    <w:lvl w:ilvl="5" w:tentative="0">
      <w:start w:val="1"/>
      <w:numFmt w:val="decimal"/>
      <w:pStyle w:val="8"/>
      <w:lvlText w:val="%1.%2.%3.%4.%5.%6"/>
      <w:lvlJc w:val="left"/>
      <w:pPr>
        <w:tabs>
          <w:tab w:val="left" w:pos="1152"/>
        </w:tabs>
        <w:ind w:left="1152" w:hanging="1152"/>
      </w:pPr>
    </w:lvl>
    <w:lvl w:ilvl="6" w:tentative="0">
      <w:start w:val="1"/>
      <w:numFmt w:val="decimal"/>
      <w:pStyle w:val="9"/>
      <w:lvlText w:val="%1.%2.%3.%4.%5.%6.%7"/>
      <w:lvlJc w:val="left"/>
      <w:pPr>
        <w:tabs>
          <w:tab w:val="left" w:pos="1296"/>
        </w:tabs>
        <w:ind w:left="1296" w:hanging="1296"/>
      </w:pPr>
    </w:lvl>
    <w:lvl w:ilvl="7" w:tentative="0">
      <w:start w:val="1"/>
      <w:numFmt w:val="decimal"/>
      <w:pStyle w:val="10"/>
      <w:lvlText w:val="%1.%2.%3.%4.%5.%6.%7.%8"/>
      <w:lvlJc w:val="left"/>
      <w:pPr>
        <w:tabs>
          <w:tab w:val="left" w:pos="1440"/>
        </w:tabs>
        <w:ind w:left="1440" w:hanging="1440"/>
      </w:pPr>
    </w:lvl>
    <w:lvl w:ilvl="8" w:tentative="0">
      <w:start w:val="1"/>
      <w:numFmt w:val="decimal"/>
      <w:pStyle w:val="11"/>
      <w:lvlText w:val="%1.%2.%3.%4.%5.%6.%7.%8.%9"/>
      <w:lvlJc w:val="left"/>
      <w:pPr>
        <w:tabs>
          <w:tab w:val="left" w:pos="1584"/>
        </w:tabs>
        <w:ind w:left="1584" w:hanging="1584"/>
      </w:pPr>
    </w:lvl>
  </w:abstractNum>
  <w:abstractNum w:abstractNumId="6">
    <w:nsid w:val="62293D5A"/>
    <w:multiLevelType w:val="singleLevel"/>
    <w:tmpl w:val="62293D5A"/>
    <w:lvl w:ilvl="0" w:tentative="0">
      <w:start w:val="1"/>
      <w:numFmt w:val="decimal"/>
      <w:suff w:val="nothing"/>
      <w:lvlText w:val="%1、"/>
      <w:lvlJc w:val="left"/>
    </w:lvl>
  </w:abstractNum>
  <w:num w:numId="1">
    <w:abstractNumId w:val="5"/>
  </w:num>
  <w:num w:numId="2">
    <w:abstractNumId w:val="1"/>
  </w:num>
  <w:num w:numId="3">
    <w:abstractNumId w:val="4"/>
  </w:num>
  <w:num w:numId="4">
    <w:abstractNumId w:val="0"/>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hNmExYjY2YzU1YTBmYzM1ZjRjYTE5YjZlMmFhNTUifQ=="/>
  </w:docVars>
  <w:rsids>
    <w:rsidRoot w:val="00D162AB"/>
    <w:rsid w:val="00010705"/>
    <w:rsid w:val="00033EC6"/>
    <w:rsid w:val="00034A0C"/>
    <w:rsid w:val="00041140"/>
    <w:rsid w:val="00084181"/>
    <w:rsid w:val="00167899"/>
    <w:rsid w:val="001811F5"/>
    <w:rsid w:val="00181A0E"/>
    <w:rsid w:val="00194132"/>
    <w:rsid w:val="001E0689"/>
    <w:rsid w:val="002008CF"/>
    <w:rsid w:val="002122FA"/>
    <w:rsid w:val="00224E43"/>
    <w:rsid w:val="00236A39"/>
    <w:rsid w:val="002475CB"/>
    <w:rsid w:val="00255FE5"/>
    <w:rsid w:val="00267F05"/>
    <w:rsid w:val="00274127"/>
    <w:rsid w:val="00275E19"/>
    <w:rsid w:val="0028651B"/>
    <w:rsid w:val="002C2274"/>
    <w:rsid w:val="002D3DD3"/>
    <w:rsid w:val="002F0B37"/>
    <w:rsid w:val="0035783C"/>
    <w:rsid w:val="00370668"/>
    <w:rsid w:val="00391A7F"/>
    <w:rsid w:val="003C3431"/>
    <w:rsid w:val="003F4FBD"/>
    <w:rsid w:val="00421AA6"/>
    <w:rsid w:val="004261F7"/>
    <w:rsid w:val="00430894"/>
    <w:rsid w:val="004457B7"/>
    <w:rsid w:val="00470F7F"/>
    <w:rsid w:val="004B2C62"/>
    <w:rsid w:val="004C5B9B"/>
    <w:rsid w:val="005135AE"/>
    <w:rsid w:val="0053177A"/>
    <w:rsid w:val="0055615C"/>
    <w:rsid w:val="00577F77"/>
    <w:rsid w:val="00592C2A"/>
    <w:rsid w:val="005A1071"/>
    <w:rsid w:val="00602766"/>
    <w:rsid w:val="00661FA0"/>
    <w:rsid w:val="006736A5"/>
    <w:rsid w:val="00680116"/>
    <w:rsid w:val="006878F7"/>
    <w:rsid w:val="006B63C1"/>
    <w:rsid w:val="006B6B5E"/>
    <w:rsid w:val="006D48A2"/>
    <w:rsid w:val="006D5978"/>
    <w:rsid w:val="006F0A2C"/>
    <w:rsid w:val="0071323D"/>
    <w:rsid w:val="00732821"/>
    <w:rsid w:val="00732BEC"/>
    <w:rsid w:val="007367C1"/>
    <w:rsid w:val="0074264C"/>
    <w:rsid w:val="00744808"/>
    <w:rsid w:val="00760056"/>
    <w:rsid w:val="00793690"/>
    <w:rsid w:val="007A6A79"/>
    <w:rsid w:val="007C4641"/>
    <w:rsid w:val="007F0454"/>
    <w:rsid w:val="00805A6C"/>
    <w:rsid w:val="00816751"/>
    <w:rsid w:val="0086235E"/>
    <w:rsid w:val="00894818"/>
    <w:rsid w:val="00941F8C"/>
    <w:rsid w:val="0095379C"/>
    <w:rsid w:val="00971133"/>
    <w:rsid w:val="0099650B"/>
    <w:rsid w:val="009A72F6"/>
    <w:rsid w:val="009D522A"/>
    <w:rsid w:val="009D7735"/>
    <w:rsid w:val="00A246F4"/>
    <w:rsid w:val="00A45447"/>
    <w:rsid w:val="00A93A7E"/>
    <w:rsid w:val="00AD2A1F"/>
    <w:rsid w:val="00AE5CBD"/>
    <w:rsid w:val="00AE712A"/>
    <w:rsid w:val="00B62E86"/>
    <w:rsid w:val="00B65C3E"/>
    <w:rsid w:val="00B907B7"/>
    <w:rsid w:val="00B90ED4"/>
    <w:rsid w:val="00BA5092"/>
    <w:rsid w:val="00BB18FC"/>
    <w:rsid w:val="00BC42F6"/>
    <w:rsid w:val="00C03108"/>
    <w:rsid w:val="00C21F1E"/>
    <w:rsid w:val="00C46E14"/>
    <w:rsid w:val="00C532BA"/>
    <w:rsid w:val="00CA2C07"/>
    <w:rsid w:val="00CC3AE7"/>
    <w:rsid w:val="00CE2C15"/>
    <w:rsid w:val="00CF3CDC"/>
    <w:rsid w:val="00D151C7"/>
    <w:rsid w:val="00D162AB"/>
    <w:rsid w:val="00D41324"/>
    <w:rsid w:val="00D60E68"/>
    <w:rsid w:val="00D8195C"/>
    <w:rsid w:val="00DC17E0"/>
    <w:rsid w:val="00DD1647"/>
    <w:rsid w:val="00DD33F1"/>
    <w:rsid w:val="00E243CC"/>
    <w:rsid w:val="00E64A22"/>
    <w:rsid w:val="00E91790"/>
    <w:rsid w:val="00EF7398"/>
    <w:rsid w:val="00F07DEC"/>
    <w:rsid w:val="00F1044E"/>
    <w:rsid w:val="00F121DC"/>
    <w:rsid w:val="00F55BE6"/>
    <w:rsid w:val="00F632BE"/>
    <w:rsid w:val="00F64C57"/>
    <w:rsid w:val="00FB5F1E"/>
    <w:rsid w:val="00FD71B2"/>
    <w:rsid w:val="017008C3"/>
    <w:rsid w:val="01782904"/>
    <w:rsid w:val="038F2DAE"/>
    <w:rsid w:val="04B31185"/>
    <w:rsid w:val="04C56E9E"/>
    <w:rsid w:val="04C92CD2"/>
    <w:rsid w:val="065B70C2"/>
    <w:rsid w:val="06872DD0"/>
    <w:rsid w:val="07A33E22"/>
    <w:rsid w:val="07ED6491"/>
    <w:rsid w:val="08447C93"/>
    <w:rsid w:val="088153B6"/>
    <w:rsid w:val="08A34169"/>
    <w:rsid w:val="095B568A"/>
    <w:rsid w:val="09772DA0"/>
    <w:rsid w:val="09B64FD2"/>
    <w:rsid w:val="09B76BD5"/>
    <w:rsid w:val="0A230F64"/>
    <w:rsid w:val="0AA82A61"/>
    <w:rsid w:val="0AF30FD4"/>
    <w:rsid w:val="0C331F13"/>
    <w:rsid w:val="0C8020F6"/>
    <w:rsid w:val="0D356F49"/>
    <w:rsid w:val="0D6A605B"/>
    <w:rsid w:val="0DF52171"/>
    <w:rsid w:val="0E5570DA"/>
    <w:rsid w:val="0F7F2A59"/>
    <w:rsid w:val="0FFA1988"/>
    <w:rsid w:val="10B869E1"/>
    <w:rsid w:val="10D958AD"/>
    <w:rsid w:val="1122139E"/>
    <w:rsid w:val="113F6B89"/>
    <w:rsid w:val="11693D8D"/>
    <w:rsid w:val="11744805"/>
    <w:rsid w:val="1177233F"/>
    <w:rsid w:val="11DC7041"/>
    <w:rsid w:val="12134F7F"/>
    <w:rsid w:val="12833B72"/>
    <w:rsid w:val="12BB2123"/>
    <w:rsid w:val="12C40987"/>
    <w:rsid w:val="13056E41"/>
    <w:rsid w:val="13BD7B43"/>
    <w:rsid w:val="13C342FE"/>
    <w:rsid w:val="13F32721"/>
    <w:rsid w:val="14813899"/>
    <w:rsid w:val="14EF7D94"/>
    <w:rsid w:val="15493B88"/>
    <w:rsid w:val="155F42CA"/>
    <w:rsid w:val="15873F8E"/>
    <w:rsid w:val="15E01E7A"/>
    <w:rsid w:val="15F41A32"/>
    <w:rsid w:val="16016ACE"/>
    <w:rsid w:val="16774510"/>
    <w:rsid w:val="16BF564C"/>
    <w:rsid w:val="16D84513"/>
    <w:rsid w:val="17030C30"/>
    <w:rsid w:val="17710E75"/>
    <w:rsid w:val="17DE5387"/>
    <w:rsid w:val="18532FCA"/>
    <w:rsid w:val="189217F3"/>
    <w:rsid w:val="19050D72"/>
    <w:rsid w:val="191F622D"/>
    <w:rsid w:val="1A961DAF"/>
    <w:rsid w:val="1AFE0DF2"/>
    <w:rsid w:val="1B3713EE"/>
    <w:rsid w:val="1B530B97"/>
    <w:rsid w:val="1BD45180"/>
    <w:rsid w:val="1C22664F"/>
    <w:rsid w:val="1C4165CF"/>
    <w:rsid w:val="1CEB50A8"/>
    <w:rsid w:val="1D860536"/>
    <w:rsid w:val="1D931460"/>
    <w:rsid w:val="1E061A63"/>
    <w:rsid w:val="1E1A6409"/>
    <w:rsid w:val="1E891F64"/>
    <w:rsid w:val="1E960AAD"/>
    <w:rsid w:val="1EDF6979"/>
    <w:rsid w:val="1EF43798"/>
    <w:rsid w:val="202239B4"/>
    <w:rsid w:val="20917554"/>
    <w:rsid w:val="21463142"/>
    <w:rsid w:val="21DE1458"/>
    <w:rsid w:val="21E9308A"/>
    <w:rsid w:val="21F72B0B"/>
    <w:rsid w:val="22717E81"/>
    <w:rsid w:val="227F7C1C"/>
    <w:rsid w:val="236E605C"/>
    <w:rsid w:val="237D0BA1"/>
    <w:rsid w:val="23BA24A1"/>
    <w:rsid w:val="24106E30"/>
    <w:rsid w:val="24173BA1"/>
    <w:rsid w:val="242C0C67"/>
    <w:rsid w:val="24820023"/>
    <w:rsid w:val="253A7BA5"/>
    <w:rsid w:val="25D10C9B"/>
    <w:rsid w:val="25FC2044"/>
    <w:rsid w:val="260E356A"/>
    <w:rsid w:val="26B34A16"/>
    <w:rsid w:val="270576B5"/>
    <w:rsid w:val="27351B7B"/>
    <w:rsid w:val="281B1B34"/>
    <w:rsid w:val="28BF07B9"/>
    <w:rsid w:val="28E60D58"/>
    <w:rsid w:val="29372A1D"/>
    <w:rsid w:val="29713612"/>
    <w:rsid w:val="299A36F9"/>
    <w:rsid w:val="29CD360B"/>
    <w:rsid w:val="2ABD172B"/>
    <w:rsid w:val="2B182AE4"/>
    <w:rsid w:val="2B762F1D"/>
    <w:rsid w:val="2C9F79DB"/>
    <w:rsid w:val="2CEF4FC7"/>
    <w:rsid w:val="2CFD5848"/>
    <w:rsid w:val="2D5346AB"/>
    <w:rsid w:val="2D916CD3"/>
    <w:rsid w:val="2D922E04"/>
    <w:rsid w:val="2DC52AB5"/>
    <w:rsid w:val="2DE41DB2"/>
    <w:rsid w:val="2E67407E"/>
    <w:rsid w:val="2EA10705"/>
    <w:rsid w:val="2FFC7235"/>
    <w:rsid w:val="30716C9C"/>
    <w:rsid w:val="30770881"/>
    <w:rsid w:val="30A44C2E"/>
    <w:rsid w:val="31390EA4"/>
    <w:rsid w:val="31761F68"/>
    <w:rsid w:val="31D17730"/>
    <w:rsid w:val="3245078E"/>
    <w:rsid w:val="32596A50"/>
    <w:rsid w:val="334A0647"/>
    <w:rsid w:val="34354B9C"/>
    <w:rsid w:val="348414AA"/>
    <w:rsid w:val="34A97918"/>
    <w:rsid w:val="355267C2"/>
    <w:rsid w:val="35A12C80"/>
    <w:rsid w:val="35E04E23"/>
    <w:rsid w:val="35EC476A"/>
    <w:rsid w:val="363D6EEF"/>
    <w:rsid w:val="376F053F"/>
    <w:rsid w:val="37FF59C4"/>
    <w:rsid w:val="384821B6"/>
    <w:rsid w:val="38736E43"/>
    <w:rsid w:val="3913588E"/>
    <w:rsid w:val="395E7894"/>
    <w:rsid w:val="39FD3577"/>
    <w:rsid w:val="3A6F2700"/>
    <w:rsid w:val="3AB65D80"/>
    <w:rsid w:val="3AE42408"/>
    <w:rsid w:val="3B630514"/>
    <w:rsid w:val="3BC55BFA"/>
    <w:rsid w:val="3C6A7233"/>
    <w:rsid w:val="3C9616AD"/>
    <w:rsid w:val="3CB47D3A"/>
    <w:rsid w:val="3CE2059C"/>
    <w:rsid w:val="3D2B5D61"/>
    <w:rsid w:val="3DB27D86"/>
    <w:rsid w:val="3DC65DEE"/>
    <w:rsid w:val="3DCF4C0F"/>
    <w:rsid w:val="3DE16AAB"/>
    <w:rsid w:val="3DF41483"/>
    <w:rsid w:val="3E284B33"/>
    <w:rsid w:val="3E33186C"/>
    <w:rsid w:val="3E7078AD"/>
    <w:rsid w:val="3EF31B88"/>
    <w:rsid w:val="3F6B126C"/>
    <w:rsid w:val="3FB34753"/>
    <w:rsid w:val="409D74F7"/>
    <w:rsid w:val="40BC621F"/>
    <w:rsid w:val="40DE47C2"/>
    <w:rsid w:val="417236BD"/>
    <w:rsid w:val="420D1F6A"/>
    <w:rsid w:val="42824708"/>
    <w:rsid w:val="43061124"/>
    <w:rsid w:val="43103835"/>
    <w:rsid w:val="433A4012"/>
    <w:rsid w:val="43A203E1"/>
    <w:rsid w:val="43C23161"/>
    <w:rsid w:val="44274B02"/>
    <w:rsid w:val="447A254D"/>
    <w:rsid w:val="44ED1301"/>
    <w:rsid w:val="450014D8"/>
    <w:rsid w:val="452631EF"/>
    <w:rsid w:val="46011816"/>
    <w:rsid w:val="46474BA6"/>
    <w:rsid w:val="467A3478"/>
    <w:rsid w:val="46984247"/>
    <w:rsid w:val="475E7202"/>
    <w:rsid w:val="476B3F5E"/>
    <w:rsid w:val="477119F3"/>
    <w:rsid w:val="477C5493"/>
    <w:rsid w:val="480D494A"/>
    <w:rsid w:val="481100A0"/>
    <w:rsid w:val="485C5C20"/>
    <w:rsid w:val="48FE60E2"/>
    <w:rsid w:val="490F4FF1"/>
    <w:rsid w:val="492C7066"/>
    <w:rsid w:val="49336098"/>
    <w:rsid w:val="49395E60"/>
    <w:rsid w:val="49451FF9"/>
    <w:rsid w:val="49762083"/>
    <w:rsid w:val="498F00A3"/>
    <w:rsid w:val="4A6A6EE9"/>
    <w:rsid w:val="4A975748"/>
    <w:rsid w:val="4C924994"/>
    <w:rsid w:val="4D0A5D23"/>
    <w:rsid w:val="4D190DFF"/>
    <w:rsid w:val="4DBD0458"/>
    <w:rsid w:val="4E380C0D"/>
    <w:rsid w:val="4E4044A1"/>
    <w:rsid w:val="4E940D15"/>
    <w:rsid w:val="4EA3596B"/>
    <w:rsid w:val="4FAD3B0D"/>
    <w:rsid w:val="4FB11619"/>
    <w:rsid w:val="4FBA7F30"/>
    <w:rsid w:val="50FC794E"/>
    <w:rsid w:val="51252528"/>
    <w:rsid w:val="51952632"/>
    <w:rsid w:val="51CB0999"/>
    <w:rsid w:val="52723C57"/>
    <w:rsid w:val="529B6A92"/>
    <w:rsid w:val="52D56B6F"/>
    <w:rsid w:val="532C2296"/>
    <w:rsid w:val="539D33C6"/>
    <w:rsid w:val="53D52BDE"/>
    <w:rsid w:val="54F4281A"/>
    <w:rsid w:val="553C537D"/>
    <w:rsid w:val="55A5547E"/>
    <w:rsid w:val="563B06BA"/>
    <w:rsid w:val="563E3516"/>
    <w:rsid w:val="565D1067"/>
    <w:rsid w:val="575C0BDF"/>
    <w:rsid w:val="576422B4"/>
    <w:rsid w:val="58513E72"/>
    <w:rsid w:val="585E7AD4"/>
    <w:rsid w:val="586914C9"/>
    <w:rsid w:val="594929E2"/>
    <w:rsid w:val="59826EF4"/>
    <w:rsid w:val="5A17456D"/>
    <w:rsid w:val="5A1E3552"/>
    <w:rsid w:val="5A395966"/>
    <w:rsid w:val="5A404574"/>
    <w:rsid w:val="5ABE2569"/>
    <w:rsid w:val="5AC149D1"/>
    <w:rsid w:val="5B087E7D"/>
    <w:rsid w:val="5BB82D83"/>
    <w:rsid w:val="5C1475C5"/>
    <w:rsid w:val="5D417684"/>
    <w:rsid w:val="5D5019C9"/>
    <w:rsid w:val="5E802B94"/>
    <w:rsid w:val="5E803DA0"/>
    <w:rsid w:val="5F1236F4"/>
    <w:rsid w:val="5F7A5624"/>
    <w:rsid w:val="6003343B"/>
    <w:rsid w:val="60645C47"/>
    <w:rsid w:val="6107296E"/>
    <w:rsid w:val="61887F1D"/>
    <w:rsid w:val="62797E6D"/>
    <w:rsid w:val="62A75FD0"/>
    <w:rsid w:val="62E459D7"/>
    <w:rsid w:val="633968D4"/>
    <w:rsid w:val="633A2820"/>
    <w:rsid w:val="63671099"/>
    <w:rsid w:val="63742579"/>
    <w:rsid w:val="64E61F48"/>
    <w:rsid w:val="64F447E8"/>
    <w:rsid w:val="652766C4"/>
    <w:rsid w:val="65E4162C"/>
    <w:rsid w:val="65EA2A17"/>
    <w:rsid w:val="663B74EE"/>
    <w:rsid w:val="66D9261C"/>
    <w:rsid w:val="6748768B"/>
    <w:rsid w:val="67937431"/>
    <w:rsid w:val="67B15F5A"/>
    <w:rsid w:val="67C13FF2"/>
    <w:rsid w:val="67CE5940"/>
    <w:rsid w:val="681D019D"/>
    <w:rsid w:val="6851298A"/>
    <w:rsid w:val="68AA368F"/>
    <w:rsid w:val="696C641C"/>
    <w:rsid w:val="69F91E53"/>
    <w:rsid w:val="6AFE3884"/>
    <w:rsid w:val="6B726176"/>
    <w:rsid w:val="6B832218"/>
    <w:rsid w:val="6B955760"/>
    <w:rsid w:val="6BFC4C7D"/>
    <w:rsid w:val="6C9908C6"/>
    <w:rsid w:val="6CEC7E21"/>
    <w:rsid w:val="6D686D93"/>
    <w:rsid w:val="6DFD6C3C"/>
    <w:rsid w:val="6FAE422F"/>
    <w:rsid w:val="70312742"/>
    <w:rsid w:val="71560152"/>
    <w:rsid w:val="71844E95"/>
    <w:rsid w:val="71AA1B88"/>
    <w:rsid w:val="72B22DEF"/>
    <w:rsid w:val="730A6739"/>
    <w:rsid w:val="73837051"/>
    <w:rsid w:val="740902FE"/>
    <w:rsid w:val="7475751A"/>
    <w:rsid w:val="7476690B"/>
    <w:rsid w:val="74992390"/>
    <w:rsid w:val="74A51D1B"/>
    <w:rsid w:val="74E65F98"/>
    <w:rsid w:val="76154B14"/>
    <w:rsid w:val="76273647"/>
    <w:rsid w:val="763D4BBD"/>
    <w:rsid w:val="765B1CFD"/>
    <w:rsid w:val="779900D6"/>
    <w:rsid w:val="781E1E57"/>
    <w:rsid w:val="78440411"/>
    <w:rsid w:val="78E96C62"/>
    <w:rsid w:val="79515BC7"/>
    <w:rsid w:val="79757DA8"/>
    <w:rsid w:val="79B34566"/>
    <w:rsid w:val="79CD6F0E"/>
    <w:rsid w:val="7AF1725D"/>
    <w:rsid w:val="7B0E793B"/>
    <w:rsid w:val="7C137EC4"/>
    <w:rsid w:val="7C9E0E9E"/>
    <w:rsid w:val="7D1B66D9"/>
    <w:rsid w:val="7D374273"/>
    <w:rsid w:val="7DCD31C0"/>
    <w:rsid w:val="7E0101B4"/>
    <w:rsid w:val="7E35563A"/>
    <w:rsid w:val="7F124FDD"/>
    <w:rsid w:val="7FCC27CC"/>
    <w:rsid w:val="7FD60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42"/>
    <w:autoRedefine/>
    <w:qFormat/>
    <w:uiPriority w:val="9"/>
    <w:pPr>
      <w:keepNext/>
      <w:keepLines/>
      <w:numPr>
        <w:ilvl w:val="0"/>
        <w:numId w:val="1"/>
      </w:numPr>
      <w:tabs>
        <w:tab w:val="clear" w:pos="432"/>
      </w:tabs>
      <w:spacing w:before="340" w:after="330" w:line="578" w:lineRule="auto"/>
      <w:ind w:left="0" w:firstLine="0"/>
      <w:outlineLvl w:val="0"/>
    </w:pPr>
    <w:rPr>
      <w:rFonts w:eastAsia="仿宋"/>
      <w:b/>
      <w:bCs/>
      <w:kern w:val="44"/>
      <w:sz w:val="30"/>
      <w:szCs w:val="44"/>
    </w:rPr>
  </w:style>
  <w:style w:type="paragraph" w:styleId="4">
    <w:name w:val="heading 2"/>
    <w:basedOn w:val="1"/>
    <w:next w:val="1"/>
    <w:link w:val="43"/>
    <w:autoRedefine/>
    <w:qFormat/>
    <w:uiPriority w:val="9"/>
    <w:pPr>
      <w:keepNext/>
      <w:keepLines/>
      <w:numPr>
        <w:ilvl w:val="1"/>
        <w:numId w:val="1"/>
      </w:numPr>
      <w:tabs>
        <w:tab w:val="clear" w:pos="576"/>
      </w:tabs>
      <w:spacing w:before="260" w:after="260" w:line="416" w:lineRule="auto"/>
      <w:ind w:left="0" w:firstLine="0"/>
      <w:outlineLvl w:val="1"/>
    </w:pPr>
    <w:rPr>
      <w:rFonts w:ascii="Cambria" w:hAnsi="Cambria"/>
      <w:b/>
      <w:bCs/>
      <w:sz w:val="28"/>
      <w:szCs w:val="32"/>
    </w:rPr>
  </w:style>
  <w:style w:type="paragraph" w:styleId="5">
    <w:name w:val="heading 3"/>
    <w:basedOn w:val="1"/>
    <w:next w:val="1"/>
    <w:link w:val="44"/>
    <w:autoRedefine/>
    <w:qFormat/>
    <w:uiPriority w:val="0"/>
    <w:pPr>
      <w:keepNext/>
      <w:keepLines/>
      <w:numPr>
        <w:ilvl w:val="2"/>
        <w:numId w:val="1"/>
      </w:numPr>
      <w:tabs>
        <w:tab w:val="clear" w:pos="1260"/>
      </w:tabs>
      <w:spacing w:before="260" w:after="260" w:line="416" w:lineRule="auto"/>
      <w:ind w:left="0" w:firstLine="0"/>
      <w:outlineLvl w:val="2"/>
    </w:pPr>
    <w:rPr>
      <w:b/>
      <w:bCs/>
      <w:sz w:val="32"/>
      <w:szCs w:val="32"/>
    </w:rPr>
  </w:style>
  <w:style w:type="paragraph" w:styleId="6">
    <w:name w:val="heading 4"/>
    <w:basedOn w:val="1"/>
    <w:next w:val="1"/>
    <w:link w:val="45"/>
    <w:autoRedefine/>
    <w:qFormat/>
    <w:uiPriority w:val="0"/>
    <w:pPr>
      <w:keepNext/>
      <w:keepLines/>
      <w:numPr>
        <w:ilvl w:val="3"/>
        <w:numId w:val="1"/>
      </w:numPr>
      <w:tabs>
        <w:tab w:val="clear" w:pos="864"/>
      </w:tabs>
      <w:spacing w:before="280" w:after="290" w:line="376" w:lineRule="auto"/>
      <w:ind w:left="0" w:firstLine="0"/>
      <w:outlineLvl w:val="3"/>
    </w:pPr>
    <w:rPr>
      <w:rFonts w:ascii="Cambria" w:hAnsi="Cambria"/>
      <w:b/>
      <w:bCs/>
      <w:sz w:val="28"/>
      <w:szCs w:val="28"/>
    </w:rPr>
  </w:style>
  <w:style w:type="paragraph" w:styleId="7">
    <w:name w:val="heading 5"/>
    <w:basedOn w:val="1"/>
    <w:next w:val="1"/>
    <w:link w:val="46"/>
    <w:autoRedefine/>
    <w:qFormat/>
    <w:uiPriority w:val="0"/>
    <w:pPr>
      <w:keepNext/>
      <w:keepLines/>
      <w:widowControl/>
      <w:numPr>
        <w:ilvl w:val="4"/>
        <w:numId w:val="1"/>
      </w:numPr>
      <w:spacing w:before="280" w:after="290" w:line="376" w:lineRule="auto"/>
      <w:jc w:val="left"/>
      <w:outlineLvl w:val="4"/>
    </w:pPr>
    <w:rPr>
      <w:rFonts w:ascii="Times New Roman" w:hAnsi="Times New Roman"/>
      <w:b/>
      <w:bCs/>
      <w:kern w:val="0"/>
      <w:sz w:val="28"/>
      <w:szCs w:val="28"/>
    </w:rPr>
  </w:style>
  <w:style w:type="paragraph" w:styleId="8">
    <w:name w:val="heading 6"/>
    <w:basedOn w:val="1"/>
    <w:next w:val="1"/>
    <w:link w:val="47"/>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szCs w:val="24"/>
    </w:rPr>
  </w:style>
  <w:style w:type="paragraph" w:styleId="9">
    <w:name w:val="heading 7"/>
    <w:basedOn w:val="1"/>
    <w:next w:val="1"/>
    <w:link w:val="48"/>
    <w:autoRedefine/>
    <w:qFormat/>
    <w:uiPriority w:val="0"/>
    <w:pPr>
      <w:keepNext/>
      <w:keepLines/>
      <w:widowControl/>
      <w:numPr>
        <w:ilvl w:val="6"/>
        <w:numId w:val="1"/>
      </w:numPr>
      <w:spacing w:before="240" w:after="64" w:line="320" w:lineRule="auto"/>
      <w:jc w:val="left"/>
      <w:outlineLvl w:val="6"/>
    </w:pPr>
    <w:rPr>
      <w:rFonts w:ascii="Times New Roman" w:hAnsi="Times New Roman"/>
      <w:b/>
      <w:bCs/>
      <w:kern w:val="0"/>
      <w:sz w:val="24"/>
      <w:szCs w:val="24"/>
    </w:rPr>
  </w:style>
  <w:style w:type="paragraph" w:styleId="10">
    <w:name w:val="heading 8"/>
    <w:basedOn w:val="1"/>
    <w:next w:val="1"/>
    <w:link w:val="49"/>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szCs w:val="24"/>
    </w:rPr>
  </w:style>
  <w:style w:type="paragraph" w:styleId="11">
    <w:name w:val="heading 9"/>
    <w:basedOn w:val="1"/>
    <w:next w:val="1"/>
    <w:link w:val="50"/>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32">
    <w:name w:val="Default Paragraph Font"/>
    <w:autoRedefine/>
    <w:semiHidden/>
    <w:unhideWhenUsed/>
    <w:qFormat/>
    <w:uiPriority w:val="1"/>
  </w:style>
  <w:style w:type="table" w:default="1" w:styleId="3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66"/>
    <w:autoRedefine/>
    <w:qFormat/>
    <w:uiPriority w:val="0"/>
    <w:pPr>
      <w:spacing w:line="420" w:lineRule="auto"/>
    </w:pPr>
    <w:rPr>
      <w:rFonts w:ascii="Times New Roman" w:hAnsi="Times New Roman"/>
      <w:sz w:val="24"/>
      <w:szCs w:val="24"/>
    </w:rPr>
  </w:style>
  <w:style w:type="paragraph" w:styleId="12">
    <w:name w:val="Normal Indent"/>
    <w:basedOn w:val="1"/>
    <w:link w:val="63"/>
    <w:autoRedefine/>
    <w:qFormat/>
    <w:uiPriority w:val="0"/>
    <w:pPr>
      <w:ind w:firstLine="420"/>
    </w:pPr>
  </w:style>
  <w:style w:type="paragraph" w:styleId="13">
    <w:name w:val="List Bullet"/>
    <w:basedOn w:val="1"/>
    <w:autoRedefine/>
    <w:qFormat/>
    <w:uiPriority w:val="0"/>
    <w:pPr>
      <w:numPr>
        <w:ilvl w:val="0"/>
        <w:numId w:val="2"/>
      </w:numPr>
    </w:pPr>
    <w:rPr>
      <w:rFonts w:ascii="Times New Roman" w:hAnsi="Times New Roman"/>
      <w:szCs w:val="24"/>
    </w:rPr>
  </w:style>
  <w:style w:type="paragraph" w:styleId="14">
    <w:name w:val="Document Map"/>
    <w:basedOn w:val="1"/>
    <w:link w:val="59"/>
    <w:autoRedefine/>
    <w:semiHidden/>
    <w:qFormat/>
    <w:uiPriority w:val="0"/>
    <w:rPr>
      <w:rFonts w:ascii="Heiti SC Light" w:eastAsia="Times New Roman"/>
      <w:sz w:val="24"/>
      <w:szCs w:val="24"/>
    </w:rPr>
  </w:style>
  <w:style w:type="paragraph" w:styleId="15">
    <w:name w:val="annotation text"/>
    <w:basedOn w:val="1"/>
    <w:link w:val="65"/>
    <w:autoRedefine/>
    <w:qFormat/>
    <w:uiPriority w:val="0"/>
    <w:pPr>
      <w:jc w:val="left"/>
    </w:pPr>
    <w:rPr>
      <w:rFonts w:asciiTheme="minorHAnsi" w:hAnsiTheme="minorHAnsi" w:eastAsiaTheme="minorEastAsia" w:cstheme="minorBidi"/>
      <w:sz w:val="28"/>
    </w:rPr>
  </w:style>
  <w:style w:type="paragraph" w:styleId="16">
    <w:name w:val="Body Text Indent"/>
    <w:basedOn w:val="1"/>
    <w:next w:val="17"/>
    <w:link w:val="54"/>
    <w:autoRedefine/>
    <w:qFormat/>
    <w:uiPriority w:val="0"/>
    <w:pPr>
      <w:ind w:firstLine="600"/>
    </w:pPr>
    <w:rPr>
      <w:rFonts w:ascii="Times New Roman" w:hAnsi="Times New Roman"/>
      <w:sz w:val="32"/>
      <w:szCs w:val="20"/>
    </w:rPr>
  </w:style>
  <w:style w:type="paragraph" w:styleId="17">
    <w:name w:val="Body Text First Indent 2"/>
    <w:basedOn w:val="16"/>
    <w:link w:val="123"/>
    <w:autoRedefine/>
    <w:unhideWhenUsed/>
    <w:qFormat/>
    <w:uiPriority w:val="0"/>
    <w:pPr>
      <w:spacing w:after="120"/>
      <w:ind w:left="420" w:leftChars="200" w:firstLine="420" w:firstLineChars="200"/>
    </w:pPr>
    <w:rPr>
      <w:rFonts w:ascii="Calibri" w:hAnsi="Calibri"/>
      <w:sz w:val="21"/>
      <w:szCs w:val="21"/>
    </w:rPr>
  </w:style>
  <w:style w:type="paragraph" w:styleId="18">
    <w:name w:val="toc 3"/>
    <w:basedOn w:val="1"/>
    <w:next w:val="1"/>
    <w:autoRedefine/>
    <w:qFormat/>
    <w:uiPriority w:val="0"/>
    <w:pPr>
      <w:ind w:left="840" w:leftChars="400"/>
    </w:pPr>
    <w:rPr>
      <w:rFonts w:ascii="Times New Roman" w:hAnsi="Times New Roman"/>
      <w:szCs w:val="24"/>
    </w:rPr>
  </w:style>
  <w:style w:type="paragraph" w:styleId="19">
    <w:name w:val="Plain Text"/>
    <w:basedOn w:val="1"/>
    <w:link w:val="53"/>
    <w:autoRedefine/>
    <w:qFormat/>
    <w:uiPriority w:val="0"/>
    <w:rPr>
      <w:rFonts w:ascii="宋体" w:hAnsi="Courier New" w:cs="Courier New"/>
      <w:szCs w:val="21"/>
    </w:rPr>
  </w:style>
  <w:style w:type="paragraph" w:styleId="20">
    <w:name w:val="Date"/>
    <w:basedOn w:val="1"/>
    <w:next w:val="1"/>
    <w:link w:val="116"/>
    <w:autoRedefine/>
    <w:qFormat/>
    <w:uiPriority w:val="99"/>
    <w:pPr>
      <w:ind w:left="100" w:leftChars="2500"/>
    </w:pPr>
    <w:rPr>
      <w:rFonts w:ascii="Times New Roman" w:hAnsi="Times New Roman"/>
      <w:sz w:val="28"/>
      <w:szCs w:val="24"/>
    </w:rPr>
  </w:style>
  <w:style w:type="paragraph" w:styleId="21">
    <w:name w:val="Body Text Indent 2"/>
    <w:basedOn w:val="1"/>
    <w:link w:val="114"/>
    <w:autoRedefine/>
    <w:qFormat/>
    <w:uiPriority w:val="0"/>
    <w:pPr>
      <w:spacing w:after="120" w:line="480" w:lineRule="auto"/>
      <w:ind w:left="420" w:leftChars="200"/>
    </w:pPr>
    <w:rPr>
      <w:rFonts w:ascii="Times New Roman" w:hAnsi="Times New Roman"/>
      <w:sz w:val="28"/>
      <w:szCs w:val="24"/>
    </w:rPr>
  </w:style>
  <w:style w:type="paragraph" w:styleId="22">
    <w:name w:val="Balloon Text"/>
    <w:basedOn w:val="1"/>
    <w:link w:val="55"/>
    <w:autoRedefine/>
    <w:unhideWhenUsed/>
    <w:qFormat/>
    <w:uiPriority w:val="99"/>
    <w:rPr>
      <w:rFonts w:ascii="Times New Roman" w:hAnsi="Times New Roman"/>
      <w:sz w:val="18"/>
      <w:szCs w:val="18"/>
    </w:rPr>
  </w:style>
  <w:style w:type="paragraph" w:styleId="23">
    <w:name w:val="footer"/>
    <w:basedOn w:val="1"/>
    <w:link w:val="52"/>
    <w:autoRedefine/>
    <w:unhideWhenUsed/>
    <w:qFormat/>
    <w:uiPriority w:val="99"/>
    <w:pPr>
      <w:tabs>
        <w:tab w:val="center" w:pos="4153"/>
        <w:tab w:val="right" w:pos="8306"/>
      </w:tabs>
      <w:snapToGrid w:val="0"/>
      <w:jc w:val="left"/>
    </w:pPr>
    <w:rPr>
      <w:sz w:val="18"/>
      <w:szCs w:val="18"/>
    </w:rPr>
  </w:style>
  <w:style w:type="paragraph" w:styleId="24">
    <w:name w:val="header"/>
    <w:basedOn w:val="1"/>
    <w:link w:val="5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rPr>
      <w:rFonts w:ascii="Times New Roman" w:hAnsi="Times New Roman"/>
      <w:szCs w:val="24"/>
    </w:rPr>
  </w:style>
  <w:style w:type="paragraph" w:styleId="26">
    <w:name w:val="Body Text Indent 3"/>
    <w:basedOn w:val="1"/>
    <w:link w:val="70"/>
    <w:autoRedefine/>
    <w:qFormat/>
    <w:uiPriority w:val="0"/>
    <w:pPr>
      <w:spacing w:after="120"/>
      <w:ind w:left="420" w:leftChars="200"/>
    </w:pPr>
    <w:rPr>
      <w:rFonts w:ascii="Times New Roman" w:hAnsi="Times New Roman"/>
      <w:sz w:val="16"/>
      <w:szCs w:val="16"/>
    </w:rPr>
  </w:style>
  <w:style w:type="paragraph" w:styleId="27">
    <w:name w:val="Body Text 2"/>
    <w:basedOn w:val="1"/>
    <w:link w:val="115"/>
    <w:autoRedefine/>
    <w:qFormat/>
    <w:uiPriority w:val="0"/>
    <w:pPr>
      <w:spacing w:after="120" w:line="480" w:lineRule="auto"/>
    </w:pPr>
    <w:rPr>
      <w:rFonts w:ascii="Times New Roman" w:hAnsi="Times New Roman"/>
      <w:sz w:val="28"/>
      <w:szCs w:val="24"/>
    </w:rPr>
  </w:style>
  <w:style w:type="paragraph" w:styleId="28">
    <w:name w:val="Normal (Web)"/>
    <w:basedOn w:val="1"/>
    <w:autoRedefine/>
    <w:qFormat/>
    <w:uiPriority w:val="0"/>
    <w:rPr>
      <w:rFonts w:ascii="Times New Roman" w:hAnsi="Times New Roman"/>
      <w:sz w:val="24"/>
      <w:szCs w:val="20"/>
    </w:rPr>
  </w:style>
  <w:style w:type="paragraph" w:styleId="29">
    <w:name w:val="Title"/>
    <w:basedOn w:val="1"/>
    <w:next w:val="1"/>
    <w:link w:val="72"/>
    <w:autoRedefine/>
    <w:qFormat/>
    <w:uiPriority w:val="0"/>
    <w:pPr>
      <w:spacing w:before="240" w:after="60"/>
      <w:jc w:val="center"/>
      <w:outlineLvl w:val="0"/>
    </w:pPr>
    <w:rPr>
      <w:rFonts w:ascii="Cambria" w:hAnsi="Cambria"/>
      <w:b/>
      <w:bCs/>
      <w:sz w:val="32"/>
      <w:szCs w:val="32"/>
    </w:rPr>
  </w:style>
  <w:style w:type="table" w:styleId="31">
    <w:name w:val="Table Grid"/>
    <w:basedOn w:val="30"/>
    <w:autoRedefine/>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0"/>
    <w:rPr>
      <w:b/>
      <w:bCs/>
    </w:rPr>
  </w:style>
  <w:style w:type="character" w:styleId="34">
    <w:name w:val="page number"/>
    <w:autoRedefine/>
    <w:qFormat/>
    <w:uiPriority w:val="0"/>
  </w:style>
  <w:style w:type="character" w:styleId="35">
    <w:name w:val="FollowedHyperlink"/>
    <w:autoRedefine/>
    <w:qFormat/>
    <w:uiPriority w:val="0"/>
    <w:rPr>
      <w:color w:val="800080"/>
      <w:u w:val="single"/>
    </w:rPr>
  </w:style>
  <w:style w:type="character" w:styleId="36">
    <w:name w:val="HTML Definition"/>
    <w:basedOn w:val="32"/>
    <w:autoRedefine/>
    <w:semiHidden/>
    <w:unhideWhenUsed/>
    <w:qFormat/>
    <w:uiPriority w:val="99"/>
    <w:rPr>
      <w:i/>
      <w:shd w:val="clear" w:fill="5CB85C"/>
    </w:rPr>
  </w:style>
  <w:style w:type="character" w:styleId="37">
    <w:name w:val="Hyperlink"/>
    <w:basedOn w:val="32"/>
    <w:autoRedefine/>
    <w:qFormat/>
    <w:uiPriority w:val="0"/>
    <w:rPr>
      <w:color w:val="0000FF"/>
      <w:u w:val="single"/>
    </w:rPr>
  </w:style>
  <w:style w:type="character" w:styleId="38">
    <w:name w:val="HTML Code"/>
    <w:basedOn w:val="32"/>
    <w:autoRedefine/>
    <w:semiHidden/>
    <w:unhideWhenUsed/>
    <w:qFormat/>
    <w:uiPriority w:val="99"/>
    <w:rPr>
      <w:rFonts w:hint="default" w:ascii="Consolas" w:hAnsi="Consolas" w:eastAsia="Consolas" w:cs="Consolas"/>
      <w:color w:val="C7254E"/>
      <w:sz w:val="21"/>
      <w:szCs w:val="21"/>
      <w:shd w:val="clear" w:fill="F9F2F4"/>
    </w:rPr>
  </w:style>
  <w:style w:type="character" w:styleId="39">
    <w:name w:val="annotation reference"/>
    <w:autoRedefine/>
    <w:qFormat/>
    <w:uiPriority w:val="0"/>
    <w:rPr>
      <w:sz w:val="21"/>
    </w:rPr>
  </w:style>
  <w:style w:type="character" w:styleId="40">
    <w:name w:val="HTML Keyboard"/>
    <w:basedOn w:val="32"/>
    <w:autoRedefine/>
    <w:semiHidden/>
    <w:unhideWhenUsed/>
    <w:qFormat/>
    <w:uiPriority w:val="99"/>
    <w:rPr>
      <w:rFonts w:ascii="Consolas" w:hAnsi="Consolas" w:eastAsia="Consolas" w:cs="Consolas"/>
      <w:color w:val="FFFFFF"/>
      <w:sz w:val="21"/>
      <w:szCs w:val="21"/>
      <w:shd w:val="clear" w:fill="333333"/>
    </w:rPr>
  </w:style>
  <w:style w:type="character" w:styleId="41">
    <w:name w:val="HTML Sample"/>
    <w:basedOn w:val="32"/>
    <w:autoRedefine/>
    <w:semiHidden/>
    <w:unhideWhenUsed/>
    <w:qFormat/>
    <w:uiPriority w:val="99"/>
    <w:rPr>
      <w:rFonts w:hint="default" w:ascii="Consolas" w:hAnsi="Consolas" w:eastAsia="Consolas" w:cs="Consolas"/>
      <w:sz w:val="21"/>
      <w:szCs w:val="21"/>
    </w:rPr>
  </w:style>
  <w:style w:type="character" w:customStyle="1" w:styleId="42">
    <w:name w:val="标题 1 Char"/>
    <w:basedOn w:val="32"/>
    <w:link w:val="3"/>
    <w:autoRedefine/>
    <w:qFormat/>
    <w:uiPriority w:val="9"/>
    <w:rPr>
      <w:rFonts w:ascii="Calibri" w:hAnsi="Calibri" w:eastAsia="仿宋" w:cs="Times New Roman"/>
      <w:b/>
      <w:bCs/>
      <w:kern w:val="44"/>
      <w:sz w:val="30"/>
      <w:szCs w:val="44"/>
    </w:rPr>
  </w:style>
  <w:style w:type="character" w:customStyle="1" w:styleId="43">
    <w:name w:val="标题 2 Char"/>
    <w:basedOn w:val="32"/>
    <w:link w:val="4"/>
    <w:autoRedefine/>
    <w:qFormat/>
    <w:uiPriority w:val="9"/>
    <w:rPr>
      <w:rFonts w:ascii="Cambria" w:hAnsi="Cambria" w:eastAsia="宋体" w:cs="Times New Roman"/>
      <w:b/>
      <w:bCs/>
      <w:sz w:val="28"/>
      <w:szCs w:val="32"/>
    </w:rPr>
  </w:style>
  <w:style w:type="character" w:customStyle="1" w:styleId="44">
    <w:name w:val="标题 3 Char"/>
    <w:basedOn w:val="32"/>
    <w:link w:val="5"/>
    <w:autoRedefine/>
    <w:qFormat/>
    <w:uiPriority w:val="0"/>
    <w:rPr>
      <w:rFonts w:ascii="Calibri" w:hAnsi="Calibri" w:eastAsia="宋体" w:cs="Times New Roman"/>
      <w:b/>
      <w:bCs/>
      <w:sz w:val="32"/>
      <w:szCs w:val="32"/>
    </w:rPr>
  </w:style>
  <w:style w:type="character" w:customStyle="1" w:styleId="45">
    <w:name w:val="标题 4 Char"/>
    <w:basedOn w:val="32"/>
    <w:link w:val="6"/>
    <w:autoRedefine/>
    <w:qFormat/>
    <w:uiPriority w:val="0"/>
    <w:rPr>
      <w:rFonts w:ascii="Cambria" w:hAnsi="Cambria" w:eastAsia="宋体" w:cs="Times New Roman"/>
      <w:b/>
      <w:bCs/>
      <w:sz w:val="28"/>
      <w:szCs w:val="28"/>
    </w:rPr>
  </w:style>
  <w:style w:type="character" w:customStyle="1" w:styleId="46">
    <w:name w:val="标题 5 Char"/>
    <w:basedOn w:val="32"/>
    <w:link w:val="7"/>
    <w:autoRedefine/>
    <w:qFormat/>
    <w:uiPriority w:val="0"/>
    <w:rPr>
      <w:rFonts w:ascii="Times New Roman" w:hAnsi="Times New Roman" w:eastAsia="宋体" w:cs="Times New Roman"/>
      <w:b/>
      <w:bCs/>
      <w:kern w:val="0"/>
      <w:sz w:val="28"/>
      <w:szCs w:val="28"/>
    </w:rPr>
  </w:style>
  <w:style w:type="character" w:customStyle="1" w:styleId="47">
    <w:name w:val="标题 6 Char"/>
    <w:basedOn w:val="32"/>
    <w:link w:val="8"/>
    <w:autoRedefine/>
    <w:qFormat/>
    <w:uiPriority w:val="0"/>
    <w:rPr>
      <w:rFonts w:ascii="Arial" w:hAnsi="Arial" w:eastAsia="黑体" w:cs="Times New Roman"/>
      <w:b/>
      <w:bCs/>
      <w:kern w:val="0"/>
      <w:sz w:val="24"/>
      <w:szCs w:val="24"/>
    </w:rPr>
  </w:style>
  <w:style w:type="character" w:customStyle="1" w:styleId="48">
    <w:name w:val="标题 7 Char"/>
    <w:basedOn w:val="32"/>
    <w:link w:val="9"/>
    <w:autoRedefine/>
    <w:qFormat/>
    <w:uiPriority w:val="0"/>
    <w:rPr>
      <w:rFonts w:ascii="Times New Roman" w:hAnsi="Times New Roman" w:eastAsia="宋体" w:cs="Times New Roman"/>
      <w:b/>
      <w:bCs/>
      <w:kern w:val="0"/>
      <w:sz w:val="24"/>
      <w:szCs w:val="24"/>
    </w:rPr>
  </w:style>
  <w:style w:type="character" w:customStyle="1" w:styleId="49">
    <w:name w:val="标题 8 Char"/>
    <w:basedOn w:val="32"/>
    <w:link w:val="10"/>
    <w:autoRedefine/>
    <w:qFormat/>
    <w:uiPriority w:val="0"/>
    <w:rPr>
      <w:rFonts w:ascii="Arial" w:hAnsi="Arial" w:eastAsia="黑体" w:cs="Times New Roman"/>
      <w:kern w:val="0"/>
      <w:sz w:val="24"/>
      <w:szCs w:val="24"/>
    </w:rPr>
  </w:style>
  <w:style w:type="character" w:customStyle="1" w:styleId="50">
    <w:name w:val="标题 9 Char"/>
    <w:basedOn w:val="32"/>
    <w:link w:val="11"/>
    <w:autoRedefine/>
    <w:qFormat/>
    <w:uiPriority w:val="0"/>
    <w:rPr>
      <w:rFonts w:ascii="Arial" w:hAnsi="Arial" w:eastAsia="黑体" w:cs="Times New Roman"/>
      <w:kern w:val="0"/>
      <w:szCs w:val="21"/>
    </w:rPr>
  </w:style>
  <w:style w:type="character" w:customStyle="1" w:styleId="51">
    <w:name w:val="页眉 Char"/>
    <w:basedOn w:val="32"/>
    <w:link w:val="24"/>
    <w:autoRedefine/>
    <w:qFormat/>
    <w:uiPriority w:val="99"/>
    <w:rPr>
      <w:rFonts w:ascii="Calibri" w:hAnsi="Calibri" w:eastAsia="宋体" w:cs="Times New Roman"/>
      <w:sz w:val="18"/>
      <w:szCs w:val="18"/>
    </w:rPr>
  </w:style>
  <w:style w:type="character" w:customStyle="1" w:styleId="52">
    <w:name w:val="页脚 Char"/>
    <w:basedOn w:val="32"/>
    <w:link w:val="23"/>
    <w:autoRedefine/>
    <w:qFormat/>
    <w:uiPriority w:val="99"/>
    <w:rPr>
      <w:rFonts w:ascii="Calibri" w:hAnsi="Calibri" w:eastAsia="宋体" w:cs="Times New Roman"/>
      <w:sz w:val="18"/>
      <w:szCs w:val="18"/>
    </w:rPr>
  </w:style>
  <w:style w:type="character" w:customStyle="1" w:styleId="53">
    <w:name w:val="纯文本 Char"/>
    <w:basedOn w:val="32"/>
    <w:link w:val="19"/>
    <w:autoRedefine/>
    <w:qFormat/>
    <w:uiPriority w:val="0"/>
    <w:rPr>
      <w:rFonts w:ascii="宋体" w:hAnsi="Courier New" w:eastAsia="宋体" w:cs="Courier New"/>
      <w:szCs w:val="21"/>
    </w:rPr>
  </w:style>
  <w:style w:type="character" w:customStyle="1" w:styleId="54">
    <w:name w:val="正文文本缩进 Char"/>
    <w:basedOn w:val="32"/>
    <w:link w:val="16"/>
    <w:autoRedefine/>
    <w:qFormat/>
    <w:uiPriority w:val="0"/>
    <w:rPr>
      <w:rFonts w:ascii="Times New Roman" w:hAnsi="Times New Roman" w:eastAsia="宋体" w:cs="Times New Roman"/>
      <w:sz w:val="32"/>
      <w:szCs w:val="20"/>
    </w:rPr>
  </w:style>
  <w:style w:type="character" w:customStyle="1" w:styleId="55">
    <w:name w:val="批注框文本 Char"/>
    <w:basedOn w:val="32"/>
    <w:link w:val="22"/>
    <w:autoRedefine/>
    <w:qFormat/>
    <w:uiPriority w:val="99"/>
    <w:rPr>
      <w:rFonts w:ascii="Times New Roman" w:hAnsi="Times New Roman" w:eastAsia="宋体" w:cs="Times New Roman"/>
      <w:sz w:val="18"/>
      <w:szCs w:val="18"/>
    </w:rPr>
  </w:style>
  <w:style w:type="paragraph" w:styleId="56">
    <w:name w:val="List Paragraph"/>
    <w:basedOn w:val="1"/>
    <w:autoRedefine/>
    <w:qFormat/>
    <w:uiPriority w:val="0"/>
    <w:pPr>
      <w:ind w:firstLine="420" w:firstLineChars="200"/>
    </w:pPr>
    <w:rPr>
      <w:rFonts w:ascii="Times New Roman" w:hAnsi="Times New Roman"/>
      <w:sz w:val="28"/>
      <w:szCs w:val="24"/>
    </w:rPr>
  </w:style>
  <w:style w:type="paragraph" w:customStyle="1" w:styleId="57">
    <w:name w:val="列出段落1"/>
    <w:basedOn w:val="1"/>
    <w:autoRedefine/>
    <w:qFormat/>
    <w:uiPriority w:val="0"/>
    <w:pPr>
      <w:ind w:firstLine="420" w:firstLineChars="200"/>
    </w:pPr>
  </w:style>
  <w:style w:type="paragraph" w:customStyle="1" w:styleId="58">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9">
    <w:name w:val="文档结构图 Char"/>
    <w:basedOn w:val="32"/>
    <w:link w:val="14"/>
    <w:autoRedefine/>
    <w:semiHidden/>
    <w:qFormat/>
    <w:uiPriority w:val="0"/>
    <w:rPr>
      <w:rFonts w:ascii="Heiti SC Light" w:hAnsi="Calibri" w:eastAsia="Times New Roman" w:cs="Times New Roman"/>
      <w:sz w:val="24"/>
      <w:szCs w:val="24"/>
    </w:rPr>
  </w:style>
  <w:style w:type="paragraph" w:customStyle="1" w:styleId="60">
    <w:name w:val="Char Char"/>
    <w:basedOn w:val="1"/>
    <w:autoRedefine/>
    <w:qFormat/>
    <w:uiPriority w:val="0"/>
    <w:rPr>
      <w:rFonts w:ascii="Tahoma" w:hAnsi="Tahoma"/>
      <w:sz w:val="24"/>
      <w:szCs w:val="20"/>
    </w:rPr>
  </w:style>
  <w:style w:type="paragraph" w:customStyle="1" w:styleId="61">
    <w:name w:val="大汉方案正文"/>
    <w:basedOn w:val="1"/>
    <w:autoRedefine/>
    <w:qFormat/>
    <w:uiPriority w:val="0"/>
    <w:pPr>
      <w:spacing w:line="360" w:lineRule="auto"/>
      <w:ind w:firstLine="200" w:firstLineChars="200"/>
    </w:pPr>
    <w:rPr>
      <w:rFonts w:ascii="Arial" w:hAnsi="Arial"/>
      <w:sz w:val="24"/>
      <w:szCs w:val="20"/>
    </w:rPr>
  </w:style>
  <w:style w:type="character" w:customStyle="1" w:styleId="62">
    <w:name w:val="批注文字 Char"/>
    <w:link w:val="15"/>
    <w:autoRedefine/>
    <w:qFormat/>
    <w:uiPriority w:val="0"/>
    <w:rPr>
      <w:sz w:val="28"/>
    </w:rPr>
  </w:style>
  <w:style w:type="character" w:customStyle="1" w:styleId="63">
    <w:name w:val="正文缩进 Char"/>
    <w:link w:val="12"/>
    <w:autoRedefine/>
    <w:qFormat/>
    <w:uiPriority w:val="0"/>
    <w:rPr>
      <w:rFonts w:ascii="Calibri" w:hAnsi="Calibri" w:eastAsia="宋体" w:cs="Times New Roman"/>
    </w:rPr>
  </w:style>
  <w:style w:type="character" w:customStyle="1" w:styleId="64">
    <w:name w:val="纯文本 Char1"/>
    <w:autoRedefine/>
    <w:qFormat/>
    <w:uiPriority w:val="0"/>
    <w:rPr>
      <w:rFonts w:ascii="宋体" w:hAnsi="Courier New" w:cs="Courier New"/>
      <w:kern w:val="2"/>
      <w:sz w:val="21"/>
      <w:szCs w:val="21"/>
    </w:rPr>
  </w:style>
  <w:style w:type="character" w:customStyle="1" w:styleId="65">
    <w:name w:val="批注文字 Char1"/>
    <w:basedOn w:val="32"/>
    <w:link w:val="15"/>
    <w:autoRedefine/>
    <w:qFormat/>
    <w:uiPriority w:val="0"/>
    <w:rPr>
      <w:rFonts w:ascii="Calibri" w:hAnsi="Calibri" w:eastAsia="宋体" w:cs="Times New Roman"/>
    </w:rPr>
  </w:style>
  <w:style w:type="character" w:customStyle="1" w:styleId="66">
    <w:name w:val="正文文本 Char"/>
    <w:basedOn w:val="32"/>
    <w:link w:val="2"/>
    <w:autoRedefine/>
    <w:qFormat/>
    <w:uiPriority w:val="0"/>
    <w:rPr>
      <w:rFonts w:ascii="Times New Roman" w:hAnsi="Times New Roman" w:eastAsia="宋体" w:cs="Times New Roman"/>
      <w:sz w:val="24"/>
      <w:szCs w:val="24"/>
    </w:rPr>
  </w:style>
  <w:style w:type="paragraph" w:customStyle="1" w:styleId="67">
    <w:name w:val="retrait3"/>
    <w:basedOn w:val="1"/>
    <w:autoRedefine/>
    <w:qFormat/>
    <w:uiPriority w:val="0"/>
    <w:pPr>
      <w:widowControl/>
      <w:spacing w:before="20" w:after="20"/>
      <w:ind w:left="851"/>
      <w:jc w:val="left"/>
    </w:pPr>
    <w:rPr>
      <w:rFonts w:ascii="Arial" w:hAnsi="Arial"/>
      <w:kern w:val="0"/>
      <w:sz w:val="24"/>
      <w:szCs w:val="20"/>
      <w:lang w:val="en-GB"/>
    </w:rPr>
  </w:style>
  <w:style w:type="character" w:customStyle="1" w:styleId="68">
    <w:name w:val="apple-converted-space"/>
    <w:autoRedefine/>
    <w:qFormat/>
    <w:uiPriority w:val="0"/>
  </w:style>
  <w:style w:type="paragraph" w:customStyle="1" w:styleId="69">
    <w:name w:val="xl2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szCs w:val="24"/>
    </w:rPr>
  </w:style>
  <w:style w:type="character" w:customStyle="1" w:styleId="70">
    <w:name w:val="正文文本缩进 3 Char"/>
    <w:basedOn w:val="32"/>
    <w:link w:val="26"/>
    <w:autoRedefine/>
    <w:qFormat/>
    <w:uiPriority w:val="0"/>
    <w:rPr>
      <w:rFonts w:ascii="Times New Roman" w:hAnsi="Times New Roman" w:eastAsia="宋体" w:cs="Times New Roman"/>
      <w:sz w:val="16"/>
      <w:szCs w:val="16"/>
    </w:rPr>
  </w:style>
  <w:style w:type="paragraph" w:customStyle="1" w:styleId="71">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character" w:customStyle="1" w:styleId="72">
    <w:name w:val="标题 Char"/>
    <w:basedOn w:val="32"/>
    <w:link w:val="29"/>
    <w:autoRedefine/>
    <w:qFormat/>
    <w:uiPriority w:val="0"/>
    <w:rPr>
      <w:rFonts w:ascii="Cambria" w:hAnsi="Cambria" w:eastAsia="宋体" w:cs="Times New Roman"/>
      <w:b/>
      <w:bCs/>
      <w:sz w:val="32"/>
      <w:szCs w:val="32"/>
    </w:rPr>
  </w:style>
  <w:style w:type="paragraph" w:customStyle="1" w:styleId="73">
    <w:name w:val="列出段落2"/>
    <w:basedOn w:val="1"/>
    <w:autoRedefine/>
    <w:qFormat/>
    <w:uiPriority w:val="0"/>
    <w:pPr>
      <w:ind w:firstLine="420" w:firstLineChars="200"/>
    </w:pPr>
  </w:style>
  <w:style w:type="paragraph" w:customStyle="1" w:styleId="74">
    <w:name w:val="无间隔2"/>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75">
    <w:name w:val="标题 3 Char1"/>
    <w:autoRedefine/>
    <w:qFormat/>
    <w:uiPriority w:val="0"/>
    <w:rPr>
      <w:rFonts w:ascii="Times New Roman" w:hAnsi="Times New Roman" w:eastAsia="宋体" w:cs="Times New Roman"/>
      <w:sz w:val="24"/>
      <w:szCs w:val="20"/>
    </w:rPr>
  </w:style>
  <w:style w:type="paragraph" w:customStyle="1" w:styleId="76">
    <w:name w:val="Char Char11 Char Char Char Char"/>
    <w:basedOn w:val="1"/>
    <w:autoRedefine/>
    <w:qFormat/>
    <w:uiPriority w:val="0"/>
    <w:pPr>
      <w:tabs>
        <w:tab w:val="left" w:pos="360"/>
      </w:tabs>
    </w:pPr>
    <w:rPr>
      <w:rFonts w:ascii="Times New Roman" w:hAnsi="Times New Roman"/>
      <w:szCs w:val="24"/>
    </w:rPr>
  </w:style>
  <w:style w:type="paragraph" w:customStyle="1" w:styleId="77">
    <w:name w:val="xl65"/>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78">
    <w:name w:val="xl6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79">
    <w:name w:val="xl67"/>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0">
    <w:name w:val="xl6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1">
    <w:name w:val="xl6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2">
    <w:name w:val="xl70"/>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3">
    <w:name w:val="xl71"/>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4">
    <w:name w:val="xl72"/>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85">
    <w:name w:val="xl73"/>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86">
    <w:name w:val="xl74"/>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7">
    <w:name w:val="xl75"/>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8">
    <w:name w:val="xl76"/>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89">
    <w:name w:val="xl77"/>
    <w:basedOn w:val="1"/>
    <w:autoRedefine/>
    <w:qFormat/>
    <w:uiPriority w:val="0"/>
    <w:pPr>
      <w:widowControl/>
      <w:spacing w:before="100" w:beforeAutospacing="1" w:after="100" w:afterAutospacing="1"/>
      <w:jc w:val="left"/>
      <w:textAlignment w:val="bottom"/>
    </w:pPr>
    <w:rPr>
      <w:rFonts w:ascii="宋体" w:hAnsi="宋体" w:cs="宋体"/>
      <w:kern w:val="0"/>
      <w:sz w:val="16"/>
      <w:szCs w:val="16"/>
    </w:rPr>
  </w:style>
  <w:style w:type="paragraph" w:customStyle="1" w:styleId="90">
    <w:name w:val="xl78"/>
    <w:basedOn w:val="1"/>
    <w:autoRedefine/>
    <w:qFormat/>
    <w:uiPriority w:val="0"/>
    <w:pPr>
      <w:widowControl/>
      <w:spacing w:before="100" w:beforeAutospacing="1" w:after="100" w:afterAutospacing="1"/>
      <w:jc w:val="left"/>
      <w:textAlignment w:val="bottom"/>
    </w:pPr>
    <w:rPr>
      <w:rFonts w:ascii="宋体" w:hAnsi="宋体" w:cs="宋体"/>
      <w:kern w:val="0"/>
      <w:sz w:val="18"/>
      <w:szCs w:val="18"/>
    </w:rPr>
  </w:style>
  <w:style w:type="paragraph" w:customStyle="1" w:styleId="91">
    <w:name w:val="xl79"/>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92">
    <w:name w:val="xl80"/>
    <w:basedOn w:val="1"/>
    <w:autoRedefine/>
    <w:qFormat/>
    <w:uiPriority w:val="0"/>
    <w:pPr>
      <w:widowControl/>
      <w:spacing w:before="100" w:beforeAutospacing="1" w:after="100" w:afterAutospacing="1"/>
      <w:jc w:val="left"/>
      <w:textAlignment w:val="bottom"/>
    </w:pPr>
    <w:rPr>
      <w:rFonts w:ascii="宋体" w:hAnsi="宋体" w:cs="宋体"/>
      <w:b/>
      <w:bCs/>
      <w:kern w:val="0"/>
      <w:sz w:val="18"/>
      <w:szCs w:val="18"/>
    </w:rPr>
  </w:style>
  <w:style w:type="paragraph" w:customStyle="1" w:styleId="93">
    <w:name w:val="xl81"/>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4">
    <w:name w:val="xl82"/>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95">
    <w:name w:val="xl8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6">
    <w:name w:val="xl8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97">
    <w:name w:val="xl8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8">
    <w:name w:val="xl86"/>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u w:val="single"/>
    </w:rPr>
  </w:style>
  <w:style w:type="paragraph" w:customStyle="1" w:styleId="99">
    <w:name w:val="xl87"/>
    <w:basedOn w:val="1"/>
    <w:autoRedefine/>
    <w:qFormat/>
    <w:uiPriority w:val="0"/>
    <w:pPr>
      <w:widowControl/>
      <w:spacing w:before="100" w:beforeAutospacing="1" w:after="100" w:afterAutospacing="1"/>
      <w:jc w:val="left"/>
      <w:textAlignment w:val="bottom"/>
    </w:pPr>
    <w:rPr>
      <w:rFonts w:ascii="宋体" w:hAnsi="宋体" w:cs="宋体"/>
      <w:b/>
      <w:bCs/>
      <w:kern w:val="0"/>
      <w:sz w:val="16"/>
      <w:szCs w:val="16"/>
    </w:rPr>
  </w:style>
  <w:style w:type="paragraph" w:customStyle="1" w:styleId="100">
    <w:name w:val="xl88"/>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1">
    <w:name w:val="xl89"/>
    <w:basedOn w:val="1"/>
    <w:autoRedefine/>
    <w:qFormat/>
    <w:uiPriority w:val="0"/>
    <w:pPr>
      <w:widowControl/>
      <w:spacing w:before="100" w:beforeAutospacing="1" w:after="100" w:afterAutospacing="1"/>
      <w:jc w:val="center"/>
      <w:textAlignment w:val="bottom"/>
    </w:pPr>
    <w:rPr>
      <w:rFonts w:ascii="宋体" w:hAnsi="宋体" w:cs="宋体"/>
      <w:kern w:val="0"/>
      <w:sz w:val="18"/>
      <w:szCs w:val="18"/>
      <w:u w:val="single"/>
    </w:rPr>
  </w:style>
  <w:style w:type="paragraph" w:customStyle="1" w:styleId="102">
    <w:name w:val="xl90"/>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3">
    <w:name w:val="xl9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4">
    <w:name w:val="xl92"/>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5">
    <w:name w:val="xl93"/>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6">
    <w:name w:val="xl94"/>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7">
    <w:name w:val="xl95"/>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08">
    <w:name w:val="xl96"/>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rPr>
  </w:style>
  <w:style w:type="paragraph" w:customStyle="1" w:styleId="109">
    <w:name w:val="xl97"/>
    <w:basedOn w:val="1"/>
    <w:autoRedefine/>
    <w:qFormat/>
    <w:uiPriority w:val="0"/>
    <w:pPr>
      <w:widowControl/>
      <w:spacing w:before="100" w:beforeAutospacing="1" w:after="100" w:afterAutospacing="1"/>
      <w:jc w:val="center"/>
      <w:textAlignment w:val="bottom"/>
    </w:pPr>
    <w:rPr>
      <w:rFonts w:ascii="宋体" w:hAnsi="宋体" w:cs="宋体"/>
      <w:b/>
      <w:bCs/>
      <w:color w:val="DD0806"/>
      <w:kern w:val="0"/>
      <w:sz w:val="18"/>
      <w:szCs w:val="18"/>
    </w:rPr>
  </w:style>
  <w:style w:type="paragraph" w:customStyle="1" w:styleId="110">
    <w:name w:val="xl98"/>
    <w:basedOn w:val="1"/>
    <w:autoRedefine/>
    <w:qFormat/>
    <w:uiPriority w:val="0"/>
    <w:pPr>
      <w:widowControl/>
      <w:spacing w:before="100" w:beforeAutospacing="1" w:after="100" w:afterAutospacing="1"/>
      <w:jc w:val="center"/>
      <w:textAlignment w:val="bottom"/>
    </w:pPr>
    <w:rPr>
      <w:rFonts w:ascii="宋体" w:hAnsi="宋体" w:cs="宋体"/>
      <w:kern w:val="0"/>
      <w:sz w:val="18"/>
      <w:szCs w:val="18"/>
    </w:rPr>
  </w:style>
  <w:style w:type="paragraph" w:customStyle="1" w:styleId="111">
    <w:name w:val="xl99"/>
    <w:basedOn w:val="1"/>
    <w:autoRedefine/>
    <w:qFormat/>
    <w:uiPriority w:val="0"/>
    <w:pPr>
      <w:widowControl/>
      <w:shd w:val="clear" w:color="000000" w:fill="C0C0C0"/>
      <w:spacing w:before="100" w:beforeAutospacing="1" w:after="100" w:afterAutospacing="1"/>
      <w:jc w:val="left"/>
      <w:textAlignment w:val="bottom"/>
    </w:pPr>
    <w:rPr>
      <w:rFonts w:ascii="宋体" w:hAnsi="宋体" w:cs="宋体"/>
      <w:b/>
      <w:bCs/>
      <w:kern w:val="0"/>
      <w:sz w:val="18"/>
      <w:szCs w:val="18"/>
    </w:rPr>
  </w:style>
  <w:style w:type="paragraph" w:customStyle="1" w:styleId="112">
    <w:name w:val="xl100"/>
    <w:basedOn w:val="1"/>
    <w:autoRedefine/>
    <w:qFormat/>
    <w:uiPriority w:val="0"/>
    <w:pPr>
      <w:widowControl/>
      <w:shd w:val="clear" w:color="000000" w:fill="C0C0C0"/>
      <w:spacing w:before="100" w:beforeAutospacing="1" w:after="100" w:afterAutospacing="1"/>
      <w:jc w:val="center"/>
      <w:textAlignment w:val="bottom"/>
    </w:pPr>
    <w:rPr>
      <w:rFonts w:ascii="宋体" w:hAnsi="宋体" w:cs="宋体"/>
      <w:b/>
      <w:bCs/>
      <w:kern w:val="0"/>
      <w:sz w:val="18"/>
      <w:szCs w:val="18"/>
    </w:rPr>
  </w:style>
  <w:style w:type="paragraph" w:customStyle="1" w:styleId="113">
    <w:name w:val="xl101"/>
    <w:basedOn w:val="1"/>
    <w:autoRedefine/>
    <w:qFormat/>
    <w:uiPriority w:val="0"/>
    <w:pPr>
      <w:widowControl/>
      <w:spacing w:before="100" w:beforeAutospacing="1" w:after="100" w:afterAutospacing="1"/>
      <w:jc w:val="center"/>
      <w:textAlignment w:val="bottom"/>
    </w:pPr>
    <w:rPr>
      <w:rFonts w:ascii="宋体" w:hAnsi="宋体" w:cs="宋体"/>
      <w:b/>
      <w:bCs/>
      <w:kern w:val="0"/>
      <w:sz w:val="18"/>
      <w:szCs w:val="18"/>
      <w:u w:val="single"/>
    </w:rPr>
  </w:style>
  <w:style w:type="character" w:customStyle="1" w:styleId="114">
    <w:name w:val="正文文本缩进 2 Char"/>
    <w:basedOn w:val="32"/>
    <w:link w:val="21"/>
    <w:autoRedefine/>
    <w:qFormat/>
    <w:uiPriority w:val="0"/>
    <w:rPr>
      <w:rFonts w:ascii="Times New Roman" w:hAnsi="Times New Roman" w:eastAsia="宋体" w:cs="Times New Roman"/>
      <w:sz w:val="28"/>
      <w:szCs w:val="24"/>
    </w:rPr>
  </w:style>
  <w:style w:type="character" w:customStyle="1" w:styleId="115">
    <w:name w:val="正文文本 2 Char"/>
    <w:basedOn w:val="32"/>
    <w:link w:val="27"/>
    <w:autoRedefine/>
    <w:qFormat/>
    <w:uiPriority w:val="0"/>
    <w:rPr>
      <w:rFonts w:ascii="Times New Roman" w:hAnsi="Times New Roman" w:eastAsia="宋体" w:cs="Times New Roman"/>
      <w:sz w:val="28"/>
      <w:szCs w:val="24"/>
    </w:rPr>
  </w:style>
  <w:style w:type="character" w:customStyle="1" w:styleId="116">
    <w:name w:val="日期 Char"/>
    <w:basedOn w:val="32"/>
    <w:link w:val="20"/>
    <w:autoRedefine/>
    <w:qFormat/>
    <w:uiPriority w:val="99"/>
    <w:rPr>
      <w:rFonts w:ascii="Times New Roman" w:hAnsi="Times New Roman" w:eastAsia="宋体" w:cs="Times New Roman"/>
      <w:sz w:val="28"/>
      <w:szCs w:val="24"/>
    </w:rPr>
  </w:style>
  <w:style w:type="character" w:customStyle="1" w:styleId="117">
    <w:name w:val="boldtitle1"/>
    <w:autoRedefine/>
    <w:qFormat/>
    <w:uiPriority w:val="0"/>
    <w:rPr>
      <w:rFonts w:hint="default" w:ascii="Arial Black" w:hAnsi="Arial Black"/>
      <w:sz w:val="36"/>
      <w:szCs w:val="36"/>
    </w:rPr>
  </w:style>
  <w:style w:type="paragraph" w:customStyle="1" w:styleId="118">
    <w:name w:val="样式5"/>
    <w:basedOn w:val="1"/>
    <w:autoRedefine/>
    <w:qFormat/>
    <w:uiPriority w:val="0"/>
    <w:pPr>
      <w:adjustRightInd w:val="0"/>
      <w:snapToGrid w:val="0"/>
      <w:spacing w:line="520" w:lineRule="exact"/>
      <w:ind w:firstLine="480" w:firstLineChars="200"/>
    </w:pPr>
    <w:rPr>
      <w:rFonts w:ascii="仿宋_GB2312" w:hAnsi="Times New Roman" w:eastAsia="仿宋_GB2312"/>
      <w:sz w:val="24"/>
      <w:szCs w:val="24"/>
    </w:rPr>
  </w:style>
  <w:style w:type="paragraph" w:customStyle="1" w:styleId="119">
    <w:name w:val="样式1"/>
    <w:basedOn w:val="1"/>
    <w:autoRedefine/>
    <w:qFormat/>
    <w:uiPriority w:val="0"/>
    <w:pPr>
      <w:adjustRightInd w:val="0"/>
      <w:textAlignment w:val="baseline"/>
    </w:pPr>
    <w:rPr>
      <w:rFonts w:ascii="宋体" w:hAnsi="宋体"/>
      <w:kern w:val="0"/>
      <w:szCs w:val="21"/>
    </w:rPr>
  </w:style>
  <w:style w:type="paragraph" w:customStyle="1" w:styleId="120">
    <w:name w:val="Char1"/>
    <w:basedOn w:val="1"/>
    <w:autoRedefine/>
    <w:qFormat/>
    <w:uiPriority w:val="0"/>
    <w:pPr>
      <w:widowControl/>
      <w:numPr>
        <w:ilvl w:val="0"/>
        <w:numId w:val="3"/>
      </w:numPr>
      <w:tabs>
        <w:tab w:val="clear" w:pos="709"/>
      </w:tabs>
      <w:spacing w:after="160" w:line="240" w:lineRule="exact"/>
      <w:ind w:left="0" w:firstLine="0"/>
      <w:jc w:val="left"/>
    </w:pPr>
    <w:rPr>
      <w:rFonts w:ascii="Verdana" w:hAnsi="Verdana"/>
      <w:kern w:val="0"/>
      <w:sz w:val="20"/>
      <w:szCs w:val="20"/>
      <w:lang w:eastAsia="en-US"/>
    </w:rPr>
  </w:style>
  <w:style w:type="paragraph" w:customStyle="1" w:styleId="121">
    <w:name w:val="Char"/>
    <w:basedOn w:val="1"/>
    <w:autoRedefine/>
    <w:qFormat/>
    <w:uiPriority w:val="0"/>
    <w:rPr>
      <w:rFonts w:ascii="Tahoma" w:hAnsi="Tahoma"/>
      <w:sz w:val="24"/>
      <w:szCs w:val="20"/>
    </w:rPr>
  </w:style>
  <w:style w:type="paragraph" w:customStyle="1" w:styleId="122">
    <w:name w:val="Char Char Char Char"/>
    <w:basedOn w:val="1"/>
    <w:autoRedefine/>
    <w:qFormat/>
    <w:uiPriority w:val="0"/>
    <w:pPr>
      <w:widowControl/>
      <w:spacing w:after="160" w:line="240" w:lineRule="exact"/>
      <w:jc w:val="left"/>
    </w:pPr>
    <w:rPr>
      <w:rFonts w:ascii="Verdana" w:hAnsi="Verdana"/>
      <w:kern w:val="0"/>
      <w:sz w:val="20"/>
      <w:szCs w:val="20"/>
      <w:lang w:eastAsia="en-US"/>
    </w:rPr>
  </w:style>
  <w:style w:type="character" w:customStyle="1" w:styleId="123">
    <w:name w:val="正文首行缩进 2 Char"/>
    <w:basedOn w:val="54"/>
    <w:link w:val="17"/>
    <w:autoRedefine/>
    <w:qFormat/>
    <w:uiPriority w:val="0"/>
    <w:rPr>
      <w:rFonts w:ascii="Calibri" w:hAnsi="Calibri"/>
      <w:szCs w:val="21"/>
    </w:rPr>
  </w:style>
  <w:style w:type="paragraph" w:customStyle="1" w:styleId="124">
    <w:name w:val="xl39"/>
    <w:basedOn w:val="1"/>
    <w:autoRedefine/>
    <w:qFormat/>
    <w:uiPriority w:val="0"/>
    <w:pPr>
      <w:widowControl/>
      <w:spacing w:before="100" w:beforeAutospacing="1" w:after="100" w:afterAutospacing="1"/>
      <w:jc w:val="center"/>
    </w:pPr>
    <w:rPr>
      <w:rFonts w:ascii="宋体" w:hAnsi="宋体"/>
      <w:kern w:val="0"/>
      <w:sz w:val="24"/>
      <w:szCs w:val="24"/>
    </w:rPr>
  </w:style>
  <w:style w:type="character" w:customStyle="1" w:styleId="125">
    <w:name w:val="hang style2"/>
    <w:basedOn w:val="32"/>
    <w:autoRedefine/>
    <w:qFormat/>
    <w:uiPriority w:val="0"/>
  </w:style>
  <w:style w:type="character" w:customStyle="1" w:styleId="126">
    <w:name w:val="font01"/>
    <w:basedOn w:val="32"/>
    <w:autoRedefine/>
    <w:qFormat/>
    <w:uiPriority w:val="0"/>
    <w:rPr>
      <w:rFonts w:ascii="Helvetica" w:hAnsi="Helvetica" w:eastAsia="Helvetica" w:cs="Helvetica"/>
      <w:color w:val="000000"/>
      <w:sz w:val="16"/>
      <w:szCs w:val="16"/>
      <w:u w:val="none"/>
    </w:rPr>
  </w:style>
  <w:style w:type="character" w:customStyle="1" w:styleId="127">
    <w:name w:val="font41"/>
    <w:basedOn w:val="32"/>
    <w:autoRedefine/>
    <w:qFormat/>
    <w:uiPriority w:val="0"/>
    <w:rPr>
      <w:rFonts w:hint="eastAsia" w:ascii="宋体" w:hAnsi="宋体" w:eastAsia="宋体" w:cs="宋体"/>
      <w:color w:val="000000"/>
      <w:sz w:val="16"/>
      <w:szCs w:val="16"/>
      <w:u w:val="none"/>
    </w:rPr>
  </w:style>
  <w:style w:type="character" w:customStyle="1" w:styleId="128">
    <w:name w:val="font11"/>
    <w:basedOn w:val="32"/>
    <w:autoRedefine/>
    <w:qFormat/>
    <w:uiPriority w:val="0"/>
    <w:rPr>
      <w:rFonts w:hint="default" w:ascii="Times New Roman" w:hAnsi="Times New Roman" w:cs="Times New Roman"/>
      <w:color w:val="000000"/>
      <w:sz w:val="16"/>
      <w:szCs w:val="16"/>
      <w:u w:val="none"/>
    </w:rPr>
  </w:style>
  <w:style w:type="character" w:customStyle="1" w:styleId="129">
    <w:name w:val="font21"/>
    <w:basedOn w:val="32"/>
    <w:autoRedefine/>
    <w:qFormat/>
    <w:uiPriority w:val="0"/>
    <w:rPr>
      <w:rFonts w:ascii="Helvetica" w:hAnsi="Helvetica" w:eastAsia="Helvetica" w:cs="Helvetica"/>
      <w:color w:val="000000"/>
      <w:sz w:val="16"/>
      <w:szCs w:val="16"/>
      <w:u w:val="none"/>
    </w:rPr>
  </w:style>
  <w:style w:type="character" w:customStyle="1" w:styleId="130">
    <w:name w:val="font51"/>
    <w:basedOn w:val="32"/>
    <w:autoRedefine/>
    <w:qFormat/>
    <w:uiPriority w:val="0"/>
    <w:rPr>
      <w:rFonts w:hint="eastAsia" w:ascii="宋体" w:hAnsi="宋体" w:eastAsia="宋体" w:cs="宋体"/>
      <w:color w:val="000000"/>
      <w:sz w:val="16"/>
      <w:szCs w:val="16"/>
      <w:u w:val="none"/>
    </w:rPr>
  </w:style>
  <w:style w:type="character" w:customStyle="1" w:styleId="131">
    <w:name w:val="font31"/>
    <w:basedOn w:val="32"/>
    <w:autoRedefine/>
    <w:qFormat/>
    <w:uiPriority w:val="0"/>
    <w:rPr>
      <w:rFonts w:hint="eastAsia" w:ascii="宋体" w:hAnsi="宋体" w:eastAsia="宋体" w:cs="宋体"/>
      <w:color w:val="000000"/>
      <w:sz w:val="16"/>
      <w:szCs w:val="16"/>
      <w:u w:val="none"/>
    </w:rPr>
  </w:style>
  <w:style w:type="character" w:customStyle="1" w:styleId="132">
    <w:name w:val="font61"/>
    <w:basedOn w:val="32"/>
    <w:autoRedefine/>
    <w:qFormat/>
    <w:uiPriority w:val="0"/>
    <w:rPr>
      <w:rFonts w:hint="eastAsia" w:ascii="宋体" w:hAnsi="宋体" w:eastAsia="宋体" w:cs="宋体"/>
      <w:color w:val="000000"/>
      <w:sz w:val="16"/>
      <w:szCs w:val="16"/>
      <w:u w:val="none"/>
    </w:rPr>
  </w:style>
  <w:style w:type="character" w:customStyle="1" w:styleId="133">
    <w:name w:val="font71"/>
    <w:basedOn w:val="32"/>
    <w:autoRedefine/>
    <w:qFormat/>
    <w:uiPriority w:val="0"/>
    <w:rPr>
      <w:rFonts w:ascii="Helvetica" w:hAnsi="Helvetica" w:eastAsia="Helvetica" w:cs="Helvetica"/>
      <w:color w:val="000000"/>
      <w:sz w:val="16"/>
      <w:szCs w:val="16"/>
      <w:u w:val="none"/>
    </w:rPr>
  </w:style>
  <w:style w:type="character" w:customStyle="1" w:styleId="134">
    <w:name w:val="font91"/>
    <w:basedOn w:val="32"/>
    <w:autoRedefine/>
    <w:qFormat/>
    <w:uiPriority w:val="0"/>
    <w:rPr>
      <w:rFonts w:hint="default" w:ascii="Times New Roman" w:hAnsi="Times New Roman" w:cs="Times New Roman"/>
      <w:color w:val="000000"/>
      <w:sz w:val="16"/>
      <w:szCs w:val="16"/>
      <w:u w:val="none"/>
    </w:rPr>
  </w:style>
  <w:style w:type="character" w:customStyle="1" w:styleId="135">
    <w:name w:val="font81"/>
    <w:basedOn w:val="32"/>
    <w:autoRedefine/>
    <w:qFormat/>
    <w:uiPriority w:val="0"/>
    <w:rPr>
      <w:rFonts w:hint="eastAsia" w:ascii="宋体" w:hAnsi="宋体" w:eastAsia="宋体" w:cs="宋体"/>
      <w:color w:val="000000"/>
      <w:sz w:val="16"/>
      <w:szCs w:val="16"/>
      <w:u w:val="none"/>
    </w:rPr>
  </w:style>
  <w:style w:type="character" w:customStyle="1" w:styleId="136">
    <w:name w:val="weby11"/>
    <w:basedOn w:val="32"/>
    <w:autoRedefine/>
    <w:qFormat/>
    <w:uiPriority w:val="0"/>
    <w:rPr>
      <w:sz w:val="18"/>
      <w:szCs w:val="18"/>
    </w:rPr>
  </w:style>
  <w:style w:type="paragraph" w:customStyle="1" w:styleId="137">
    <w:name w:val="样式 首行缩进:  2 字符"/>
    <w:basedOn w:val="1"/>
    <w:autoRedefine/>
    <w:qFormat/>
    <w:uiPriority w:val="0"/>
    <w:pPr>
      <w:widowControl/>
    </w:pPr>
    <w:rPr>
      <w:rFonts w:ascii="宋体" w:hAnsi="宋体" w:cs="宋体"/>
      <w:bCs/>
      <w:kern w:val="0"/>
      <w:sz w:val="24"/>
      <w:szCs w:val="24"/>
    </w:rPr>
  </w:style>
  <w:style w:type="paragraph" w:customStyle="1" w:styleId="138">
    <w:name w:val="正文文字2"/>
    <w:basedOn w:val="2"/>
    <w:autoRedefine/>
    <w:qFormat/>
    <w:uiPriority w:val="0"/>
    <w:pPr>
      <w:adjustRightInd w:val="0"/>
      <w:spacing w:before="100" w:beforeAutospacing="1" w:after="60" w:line="360" w:lineRule="atLeast"/>
      <w:ind w:left="72" w:leftChars="30" w:right="72" w:rightChars="30"/>
      <w:jc w:val="center"/>
      <w:textAlignment w:val="baseline"/>
    </w:pPr>
    <w:rPr>
      <w:rFonts w:ascii="等线" w:eastAsia="等线"/>
      <w:kern w:val="0"/>
      <w:sz w:val="21"/>
      <w:szCs w:val="21"/>
    </w:rPr>
  </w:style>
  <w:style w:type="paragraph" w:customStyle="1" w:styleId="139">
    <w:name w:val="列出段落11"/>
    <w:basedOn w:val="1"/>
    <w:autoRedefine/>
    <w:qFormat/>
    <w:uiPriority w:val="0"/>
    <w:pPr>
      <w:ind w:firstLine="420" w:firstLineChars="200"/>
    </w:pPr>
    <w:rPr>
      <w:rFonts w:eastAsia="等线"/>
      <w:sz w:val="28"/>
      <w:szCs w:val="20"/>
    </w:rPr>
  </w:style>
  <w:style w:type="paragraph" w:customStyle="1" w:styleId="140">
    <w:name w:val="正文1"/>
    <w:autoRedefine/>
    <w:qFormat/>
    <w:uiPriority w:val="0"/>
    <w:pPr>
      <w:jc w:val="both"/>
    </w:pPr>
    <w:rPr>
      <w:rFonts w:ascii="等线" w:hAnsi="等线" w:eastAsia="宋体" w:cs="宋体"/>
      <w:kern w:val="2"/>
      <w:sz w:val="21"/>
      <w:szCs w:val="21"/>
      <w:lang w:val="en-US" w:eastAsia="zh-CN" w:bidi="ar-SA"/>
    </w:rPr>
  </w:style>
  <w:style w:type="character" w:customStyle="1" w:styleId="141">
    <w:name w:val="time"/>
    <w:basedOn w:val="32"/>
    <w:autoRedefine/>
    <w:qFormat/>
    <w:uiPriority w:val="0"/>
    <w:rPr>
      <w:color w:val="484848"/>
    </w:rPr>
  </w:style>
  <w:style w:type="character" w:customStyle="1" w:styleId="142">
    <w:name w:val="time2"/>
    <w:basedOn w:val="32"/>
    <w:autoRedefine/>
    <w:qFormat/>
    <w:uiPriority w:val="0"/>
    <w:rPr>
      <w:color w:val="484848"/>
    </w:rPr>
  </w:style>
  <w:style w:type="paragraph" w:customStyle="1" w:styleId="143">
    <w:name w:val="Table Paragraph"/>
    <w:basedOn w:val="1"/>
    <w:autoRedefine/>
    <w:qFormat/>
    <w:uiPriority w:val="1"/>
    <w:rPr>
      <w:rFonts w:ascii="宋体" w:hAnsi="宋体" w:cs="宋体"/>
      <w:szCs w:val="24"/>
    </w:rPr>
  </w:style>
  <w:style w:type="paragraph" w:customStyle="1" w:styleId="144">
    <w:name w:val="列出段落4"/>
    <w:basedOn w:val="1"/>
    <w:autoRedefine/>
    <w:qFormat/>
    <w:uiPriority w:val="99"/>
    <w:pPr>
      <w:ind w:firstLine="420" w:firstLineChars="200"/>
    </w:pPr>
    <w:rPr>
      <w:rFonts w:cs="Times New Roman"/>
      <w:u w:color="000000"/>
    </w:rPr>
  </w:style>
  <w:style w:type="character" w:customStyle="1" w:styleId="145">
    <w:name w:val="ivu-radio+*"/>
    <w:basedOn w:val="32"/>
    <w:autoRedefine/>
    <w:qFormat/>
    <w:uiPriority w:val="0"/>
  </w:style>
  <w:style w:type="character" w:customStyle="1" w:styleId="146">
    <w:name w:val="ivu-date-picker-cells-cell"/>
    <w:basedOn w:val="32"/>
    <w:autoRedefine/>
    <w:qFormat/>
    <w:uiPriority w:val="0"/>
  </w:style>
  <w:style w:type="character" w:customStyle="1" w:styleId="147">
    <w:name w:val="time4"/>
    <w:basedOn w:val="32"/>
    <w:autoRedefine/>
    <w:qFormat/>
    <w:uiPriority w:val="0"/>
    <w:rPr>
      <w:color w:val="484848"/>
    </w:rPr>
  </w:style>
  <w:style w:type="paragraph" w:customStyle="1" w:styleId="148">
    <w:name w:val="TOC1"/>
    <w:basedOn w:val="1"/>
    <w:next w:val="1"/>
    <w:autoRedefine/>
    <w:qFormat/>
    <w:uiPriority w:val="0"/>
    <w:pPr>
      <w:jc w:val="both"/>
      <w:textAlignment w:val="baseline"/>
    </w:pPr>
    <w:rPr>
      <w:rFonts w:ascii="Times New Roman" w:hAnsi="Times New Roman"/>
      <w:kern w:val="2"/>
      <w:sz w:val="21"/>
      <w:szCs w:val="24"/>
      <w:lang w:val="en-US" w:eastAsia="zh-CN" w:bidi="ar-SA"/>
    </w:rPr>
  </w:style>
  <w:style w:type="character" w:customStyle="1" w:styleId="149">
    <w:name w:val="NormalCharacter"/>
    <w:autoRedefine/>
    <w:qFormat/>
    <w:uiPriority w:val="99"/>
  </w:style>
  <w:style w:type="character" w:customStyle="1" w:styleId="150">
    <w:name w:val="正文文本 (2) + MingLiU3"/>
    <w:basedOn w:val="32"/>
    <w:autoRedefine/>
    <w:qFormat/>
    <w:uiPriority w:val="99"/>
    <w:rPr>
      <w:rFonts w:ascii="MingLiU" w:eastAsia="MingLiU" w:cs="MingLiU"/>
      <w:spacing w:val="20"/>
      <w:sz w:val="21"/>
      <w:szCs w:val="21"/>
      <w:u w:val="none"/>
    </w:rPr>
  </w:style>
  <w:style w:type="paragraph" w:customStyle="1" w:styleId="151">
    <w:name w:val="Table Text"/>
    <w:basedOn w:val="1"/>
    <w:autoRedefine/>
    <w:semiHidden/>
    <w:qFormat/>
    <w:uiPriority w:val="0"/>
    <w:rPr>
      <w:rFonts w:ascii="宋体" w:hAnsi="宋体" w:eastAsia="宋体" w:cs="宋体"/>
      <w:sz w:val="27"/>
      <w:szCs w:val="27"/>
      <w:lang w:val="en-US" w:eastAsia="en-US" w:bidi="ar-SA"/>
    </w:rPr>
  </w:style>
  <w:style w:type="table" w:customStyle="1" w:styleId="152">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9281</Words>
  <Characters>10365</Characters>
  <Lines>146</Lines>
  <Paragraphs>41</Paragraphs>
  <TotalTime>0</TotalTime>
  <ScaleCrop>false</ScaleCrop>
  <LinksUpToDate>false</LinksUpToDate>
  <CharactersWithSpaces>10493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2017-11-23T02:53:00Z</dcterms:created>
  <dc:creator>zengyong</dc:creator>
  <cp:lastModifiedBy>WPS_1650610712</cp:lastModifiedBy>
  <cp:lastPrinted>2024-12-06T00:37:00Z</cp:lastPrinted>
  <dcterms:modified xsi:type="dcterms:W3CDTF">2024-12-18T07:45:05Z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680BC465D18343DBB785D84CA0AB435C_13</vt:lpwstr>
  </property>
</Properties>
</file>