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2F99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02119799"/>
      <w:bookmarkStart w:id="1" w:name="_Toc117244462"/>
      <w:bookmarkStart w:id="2" w:name="_Toc102115968"/>
      <w:bookmarkStart w:id="3" w:name="_Toc102114866"/>
      <w:bookmarkStart w:id="4" w:name="_Toc102116098"/>
      <w:bookmarkStart w:id="5" w:name="_Toc102057666"/>
      <w:bookmarkStart w:id="6" w:name="_Toc117244347"/>
      <w:bookmarkStart w:id="7" w:name="_Toc102056166"/>
      <w:bookmarkStart w:id="8" w:name="_Toc23087"/>
      <w:bookmarkStart w:id="9" w:name="_Toc102119800"/>
      <w:bookmarkStart w:id="10" w:name="_Toc102116099"/>
      <w:bookmarkStart w:id="11" w:name="_Toc102115969"/>
      <w:bookmarkStart w:id="12" w:name="_Toc102057667"/>
      <w:bookmarkStart w:id="13" w:name="_Toc102056167"/>
      <w:bookmarkStart w:id="14" w:name="_Toc102114867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EDCB37A">
      <w:pPr>
        <w:pStyle w:val="3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口腔牙椅竞争性谈判公告</w:t>
      </w:r>
      <w:bookmarkEnd w:id="8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60422</w:t>
      </w:r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人民医院口腔牙椅四台采购项目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竞争性谈判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20 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20  </w:t>
      </w:r>
      <w:r>
        <w:rPr>
          <w:rFonts w:hint="eastAsia"/>
          <w:color w:val="auto"/>
          <w:szCs w:val="24"/>
        </w:rPr>
        <w:t>万元整</w:t>
      </w:r>
    </w:p>
    <w:p w14:paraId="23B834B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057668"/>
      <w:bookmarkStart w:id="16" w:name="_Toc102119801"/>
      <w:bookmarkStart w:id="17" w:name="_Toc102115970"/>
      <w:bookmarkStart w:id="18" w:name="_Toc102114868"/>
      <w:bookmarkStart w:id="19" w:name="_Toc102116100"/>
      <w:bookmarkStart w:id="20" w:name="_Toc102056168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7669"/>
      <w:bookmarkStart w:id="22" w:name="_Toc102119802"/>
      <w:bookmarkStart w:id="23" w:name="_Toc102056169"/>
      <w:bookmarkStart w:id="24" w:name="_Toc102115971"/>
      <w:bookmarkStart w:id="25" w:name="_Toc102114869"/>
      <w:bookmarkStart w:id="26" w:name="_Toc10211610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/>
          <w:color w:val="000000"/>
          <w:sz w:val="24"/>
          <w:szCs w:val="24"/>
        </w:rPr>
        <w:t>投标人必须符合</w:t>
      </w:r>
      <w:r>
        <w:rPr>
          <w:rFonts w:hint="eastAsia"/>
          <w:color w:val="000000"/>
          <w:sz w:val="24"/>
          <w:szCs w:val="24"/>
          <w:lang w:eastAsia="zh-CN"/>
        </w:rPr>
        <w:t>《医疗器械监督管理条例》</w:t>
      </w:r>
      <w:r>
        <w:rPr>
          <w:rFonts w:hint="eastAsia"/>
          <w:color w:val="000000"/>
          <w:sz w:val="24"/>
          <w:szCs w:val="24"/>
        </w:rPr>
        <w:t>的规定，境内生产企业投标的，必须具有医疗器械生产许可证（或生产备案凭证—限一类医疗器械）；投标人为代理企业的，必须具有医疗器械经营许可证（三类医疗器械）或经营备案凭证（二类医疗器械）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4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30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9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，每天上午08:30至12:00，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5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9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11</w:t>
      </w:r>
      <w:bookmarkStart w:id="73" w:name="_GoBack"/>
      <w:bookmarkEnd w:id="73"/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5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洪湖市人民医院行政楼301会议室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057671"/>
      <w:bookmarkStart w:id="28" w:name="_Toc102119804"/>
      <w:bookmarkStart w:id="29" w:name="_Toc102114871"/>
      <w:bookmarkStart w:id="30" w:name="_Toc102116103"/>
      <w:bookmarkStart w:id="31" w:name="_Toc102115973"/>
      <w:bookmarkStart w:id="32" w:name="_Toc102056171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9805"/>
      <w:bookmarkStart w:id="34" w:name="_Toc102115974"/>
      <w:bookmarkStart w:id="35" w:name="_Toc102114872"/>
      <w:bookmarkStart w:id="36" w:name="_Toc102057672"/>
      <w:bookmarkStart w:id="37" w:name="_Toc102116104"/>
      <w:bookmarkStart w:id="38" w:name="_Toc102056172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4873"/>
      <w:bookmarkStart w:id="40" w:name="_Toc102116105"/>
      <w:bookmarkStart w:id="41" w:name="_Toc102115975"/>
      <w:bookmarkStart w:id="42" w:name="_Toc102056173"/>
      <w:bookmarkStart w:id="43" w:name="_Toc102057673"/>
      <w:bookmarkStart w:id="44" w:name="_Toc102119806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8"/>
        <w:rPr>
          <w:rFonts w:hint="eastAsia"/>
          <w:lang w:val="en-US" w:eastAsia="zh-CN"/>
        </w:rPr>
      </w:pPr>
    </w:p>
    <w:p w14:paraId="5D1C17F2">
      <w:pPr>
        <w:pStyle w:val="8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8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8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8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07561309"/>
      <w:bookmarkStart w:id="46" w:name="_Toc117244505"/>
      <w:bookmarkStart w:id="47" w:name="_Toc28314"/>
      <w:bookmarkStart w:id="48" w:name="_Toc11724439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8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511895475"/>
      <w:bookmarkStart w:id="50" w:name="_Toc17668"/>
      <w:bookmarkStart w:id="51" w:name="_Toc117244392"/>
      <w:bookmarkStart w:id="52" w:name="_Toc107561243"/>
      <w:bookmarkStart w:id="53" w:name="_Toc511894534"/>
      <w:bookmarkStart w:id="54" w:name="_Toc117244507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8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8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2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二</w:t>
            </w:r>
            <w:r>
              <w:rPr>
                <w:rFonts w:hint="eastAsia"/>
                <w:color w:val="000000"/>
                <w:sz w:val="24"/>
                <w:szCs w:val="24"/>
              </w:rPr>
              <w:t>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</w:t>
            </w:r>
            <w:r>
              <w:rPr>
                <w:rFonts w:hint="eastAsia"/>
                <w:color w:val="000000"/>
                <w:sz w:val="24"/>
                <w:szCs w:val="24"/>
                <w:lang w:val="hr-HR" w:eastAsia="zh-CN"/>
              </w:rPr>
              <w:t>相关证明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4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2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8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17244394"/>
      <w:bookmarkStart w:id="57" w:name="_Toc107561313"/>
      <w:bookmarkStart w:id="58" w:name="_Toc10799"/>
      <w:bookmarkStart w:id="59" w:name="_Toc1172445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5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7352"/>
      <w:bookmarkStart w:id="61" w:name="_Toc107561312"/>
      <w:bookmarkStart w:id="62" w:name="_Toc117244508"/>
      <w:bookmarkStart w:id="63" w:name="_Toc11724439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5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8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8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8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8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107561301"/>
      <w:bookmarkStart w:id="65" w:name="_Toc21006"/>
      <w:bookmarkStart w:id="66" w:name="_Toc117244495"/>
      <w:bookmarkStart w:id="67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8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8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8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8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4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107561299"/>
      <w:bookmarkStart w:id="69" w:name="_Toc117244493"/>
      <w:bookmarkStart w:id="70" w:name="_Toc117244378"/>
      <w:bookmarkStart w:id="71" w:name="_Toc29564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8"/>
        <w:rPr>
          <w:rFonts w:hint="eastAsia"/>
          <w:color w:val="auto"/>
          <w:szCs w:val="24"/>
        </w:rPr>
      </w:pPr>
    </w:p>
    <w:p w14:paraId="6643C593">
      <w:pPr>
        <w:pStyle w:val="8"/>
        <w:rPr>
          <w:rFonts w:hint="eastAsia"/>
          <w:color w:val="auto"/>
          <w:szCs w:val="24"/>
        </w:rPr>
      </w:pPr>
    </w:p>
    <w:p w14:paraId="127289B2">
      <w:pPr>
        <w:pStyle w:val="8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8"/>
        <w:rPr>
          <w:rFonts w:hint="eastAsia"/>
          <w:color w:val="auto"/>
          <w:szCs w:val="24"/>
        </w:rPr>
      </w:pPr>
    </w:p>
    <w:p w14:paraId="7219C091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8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2F684CA9">
      <w:pPr>
        <w:numPr>
          <w:ilvl w:val="0"/>
          <w:numId w:val="15"/>
        </w:numPr>
        <w:rPr>
          <w:rFonts w:hint="eastAsia"/>
          <w:color w:val="auto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采购清单</w:t>
      </w:r>
    </w:p>
    <w:tbl>
      <w:tblPr>
        <w:tblStyle w:val="13"/>
        <w:tblW w:w="10270" w:type="dxa"/>
        <w:tblInd w:w="-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3971"/>
        <w:gridCol w:w="972"/>
        <w:gridCol w:w="1070"/>
        <w:gridCol w:w="1180"/>
        <w:gridCol w:w="1180"/>
        <w:gridCol w:w="1070"/>
      </w:tblGrid>
      <w:tr w14:paraId="272C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827" w:type="dxa"/>
            <w:shd w:val="clear" w:color="auto" w:fill="D8D8D8"/>
            <w:noWrap w:val="0"/>
            <w:vAlign w:val="center"/>
          </w:tcPr>
          <w:p w14:paraId="0B515935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971" w:type="dxa"/>
            <w:shd w:val="clear" w:color="auto" w:fill="D8D8D8"/>
            <w:noWrap w:val="0"/>
            <w:vAlign w:val="center"/>
          </w:tcPr>
          <w:p w14:paraId="1C70FFBF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972" w:type="dxa"/>
            <w:shd w:val="clear" w:color="auto" w:fill="D8D8D8"/>
            <w:noWrap w:val="0"/>
            <w:vAlign w:val="center"/>
          </w:tcPr>
          <w:p w14:paraId="78AB19AD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70" w:type="dxa"/>
            <w:shd w:val="clear" w:color="auto" w:fill="D8D8D8"/>
            <w:noWrap w:val="0"/>
            <w:vAlign w:val="center"/>
          </w:tcPr>
          <w:p w14:paraId="70269CD2">
            <w:pPr>
              <w:ind w:firstLine="240" w:firstLineChars="100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180" w:type="dxa"/>
            <w:shd w:val="clear" w:color="auto" w:fill="D8D8D8"/>
            <w:noWrap w:val="0"/>
            <w:vAlign w:val="center"/>
          </w:tcPr>
          <w:p w14:paraId="5CD4B62C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单价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限价</w:t>
            </w:r>
          </w:p>
        </w:tc>
        <w:tc>
          <w:tcPr>
            <w:tcW w:w="1180" w:type="dxa"/>
            <w:shd w:val="clear" w:color="auto" w:fill="D8D8D8"/>
            <w:noWrap w:val="0"/>
            <w:vAlign w:val="center"/>
          </w:tcPr>
          <w:p w14:paraId="50C2A4CD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070" w:type="dxa"/>
            <w:shd w:val="clear" w:color="auto" w:fill="D8D8D8"/>
            <w:noWrap w:val="0"/>
            <w:vAlign w:val="center"/>
          </w:tcPr>
          <w:p w14:paraId="5D2C68B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要求/</w:t>
            </w:r>
          </w:p>
          <w:p w14:paraId="022E53AF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9043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827" w:type="dxa"/>
            <w:noWrap w:val="0"/>
            <w:vAlign w:val="center"/>
          </w:tcPr>
          <w:p w14:paraId="786D646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71" w:type="dxa"/>
            <w:noWrap w:val="0"/>
            <w:vAlign w:val="center"/>
          </w:tcPr>
          <w:p w14:paraId="5C0A8A4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牙椅</w:t>
            </w:r>
          </w:p>
        </w:tc>
        <w:tc>
          <w:tcPr>
            <w:tcW w:w="972" w:type="dxa"/>
            <w:noWrap w:val="0"/>
            <w:vAlign w:val="center"/>
          </w:tcPr>
          <w:p w14:paraId="0588771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70" w:type="dxa"/>
            <w:noWrap w:val="0"/>
            <w:vAlign w:val="center"/>
          </w:tcPr>
          <w:p w14:paraId="29D5D7B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180" w:type="dxa"/>
            <w:noWrap w:val="0"/>
            <w:vAlign w:val="center"/>
          </w:tcPr>
          <w:p w14:paraId="44FF31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180" w:type="dxa"/>
            <w:noWrap w:val="0"/>
            <w:vAlign w:val="center"/>
          </w:tcPr>
          <w:p w14:paraId="664541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工业</w:t>
            </w:r>
          </w:p>
        </w:tc>
        <w:tc>
          <w:tcPr>
            <w:tcW w:w="1070" w:type="dxa"/>
            <w:noWrap w:val="0"/>
            <w:vAlign w:val="center"/>
          </w:tcPr>
          <w:p w14:paraId="6CEA9EB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AC7D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4798" w:type="dxa"/>
            <w:gridSpan w:val="2"/>
            <w:noWrap w:val="0"/>
            <w:vAlign w:val="center"/>
          </w:tcPr>
          <w:p w14:paraId="408465BF">
            <w:pPr>
              <w:ind w:firstLine="1200" w:firstLineChars="500"/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  <w:t>供货期</w:t>
            </w:r>
          </w:p>
        </w:tc>
        <w:tc>
          <w:tcPr>
            <w:tcW w:w="5472" w:type="dxa"/>
            <w:gridSpan w:val="5"/>
            <w:noWrap w:val="0"/>
            <w:vAlign w:val="center"/>
          </w:tcPr>
          <w:p w14:paraId="0CA9FF8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FF"/>
                <w:sz w:val="24"/>
                <w:szCs w:val="24"/>
                <w:lang w:val="en-US" w:eastAsia="zh-CN"/>
              </w:rPr>
              <w:t>自合同签订之日起30日历天内完成设备的安装调试验收交付</w:t>
            </w:r>
          </w:p>
        </w:tc>
      </w:tr>
    </w:tbl>
    <w:p w14:paraId="329DB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48D11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</w:p>
    <w:p w14:paraId="59509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-708" w:leftChars="-295" w:firstLine="708" w:firstLineChars="295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二、技术、服务要求</w:t>
      </w:r>
    </w:p>
    <w:p w14:paraId="53AB9629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/>
          <w:b w:val="0"/>
          <w:bCs w:val="0"/>
          <w:color w:val="auto"/>
          <w:sz w:val="24"/>
          <w:szCs w:val="24"/>
        </w:rPr>
        <w:t>说明：供应商在响应文件《技术、服务要求响应、偏离说明表》中应对以下技术、服务要求逐条进行响应描述或偏离说明，</w:t>
      </w:r>
      <w:r>
        <w:rPr>
          <w:rFonts w:ascii="宋体" w:hAnsi="宋体" w:eastAsia="宋体" w:cs="宋体"/>
          <w:color w:val="auto"/>
          <w:sz w:val="24"/>
          <w:szCs w:val="24"/>
          <w:lang w:eastAsia="zh-CN"/>
        </w:rPr>
        <w:t>不满足</w:t>
      </w: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★要求的，其响应文</w:t>
      </w:r>
      <w:r>
        <w:rPr>
          <w:rFonts w:ascii="宋体" w:hAnsi="宋体" w:eastAsia="宋体" w:cs="宋体"/>
          <w:color w:val="auto"/>
          <w:spacing w:val="-4"/>
          <w:sz w:val="24"/>
          <w:szCs w:val="24"/>
          <w:lang w:eastAsia="zh-CN"/>
        </w:rPr>
        <w:t>件将按照无效文件处理。</w:t>
      </w:r>
    </w:p>
    <w:p w14:paraId="0038A7DD">
      <w:pPr>
        <w:pStyle w:val="11"/>
        <w:widowControl/>
        <w:rPr>
          <w:rFonts w:ascii="黑体" w:hAnsi="黑体" w:eastAsia="黑体" w:cs="黑体"/>
          <w:szCs w:val="24"/>
        </w:rPr>
      </w:pPr>
      <w:r>
        <w:rPr>
          <w:rFonts w:ascii="黑体" w:hAnsi="黑体" w:eastAsia="黑体" w:cs="黑体"/>
          <w:szCs w:val="24"/>
        </w:rPr>
        <w:t>1.工作条件：环境温度5°-40°；相对湿度≤80%；供气压力范围0.55—0.80Mpa,流量≥55L/min；水源水压范围 0.2—0.4Mpa, 流量≥10L/min。</w:t>
      </w:r>
    </w:p>
    <w:p w14:paraId="0A0EEBE1">
      <w:pPr>
        <w:pStyle w:val="11"/>
        <w:widowControl/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整机工作功率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≤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350V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，高效节能。</w:t>
      </w:r>
    </w:p>
    <w:p w14:paraId="63765F1F">
      <w:pPr>
        <w:pStyle w:val="11"/>
        <w:widowControl/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.牙椅注册使用期限≥15年</w:t>
      </w:r>
      <w:r>
        <w:rPr>
          <w:rFonts w:hint="eastAsia" w:ascii="黑体" w:hAnsi="黑体" w:eastAsia="黑体" w:cs="黑体"/>
          <w:color w:val="000000" w:themeColor="text1"/>
          <w:szCs w:val="24"/>
          <w:lang w:eastAsia="zh-CN"/>
          <w14:textFill>
            <w14:solidFill>
              <w14:schemeClr w14:val="tx1"/>
            </w14:solidFill>
          </w14:textFill>
        </w:rPr>
        <w:t>，提供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3年整机保修，水汽管路保修15年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。</w:t>
      </w:r>
    </w:p>
    <w:p w14:paraId="626871C1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4</w:t>
      </w:r>
      <w:r>
        <w:rPr>
          <w:rFonts w:ascii="黑体" w:hAnsi="黑体" w:eastAsia="黑体" w:cs="黑体"/>
          <w:szCs w:val="24"/>
        </w:rPr>
        <w:t>.</w:t>
      </w:r>
      <w:r>
        <w:rPr>
          <w:rFonts w:hint="eastAsia" w:ascii="黑体" w:hAnsi="黑体" w:eastAsia="黑体" w:cs="黑体"/>
          <w:szCs w:val="24"/>
        </w:rPr>
        <w:t>口腔灯：感应</w:t>
      </w:r>
      <w:r>
        <w:rPr>
          <w:rFonts w:ascii="黑体" w:hAnsi="黑体" w:eastAsia="黑体" w:cs="黑体"/>
          <w:szCs w:val="24"/>
        </w:rPr>
        <w:t>LED冷光灯，色温可进行白光/黄光两种模式切换，色温最大值≥5000K，最小值≤2700K；照度可进行无极调节，最高照度≥30000Lux，无接触式控制</w:t>
      </w:r>
      <w:r>
        <w:rPr>
          <w:rFonts w:hint="eastAsia" w:ascii="黑体" w:hAnsi="黑体" w:eastAsia="黑体" w:cs="黑体"/>
          <w:szCs w:val="24"/>
        </w:rPr>
        <w:t>；</w:t>
      </w:r>
      <w:r>
        <w:rPr>
          <w:rFonts w:ascii="黑体" w:hAnsi="黑体" w:eastAsia="黑体" w:cs="黑体"/>
          <w:szCs w:val="24"/>
        </w:rPr>
        <w:t>口腔灯与牙科综合治疗台注册证需为同一品牌</w:t>
      </w:r>
      <w:r>
        <w:rPr>
          <w:rFonts w:hint="eastAsia" w:ascii="黑体" w:hAnsi="黑体" w:eastAsia="黑体" w:cs="黑体"/>
          <w:szCs w:val="24"/>
        </w:rPr>
        <w:t>。</w:t>
      </w:r>
      <w:r>
        <w:rPr>
          <w:rFonts w:ascii="黑体" w:hAnsi="黑体" w:eastAsia="黑体" w:cs="黑体"/>
          <w:szCs w:val="24"/>
        </w:rPr>
        <w:t>（提供同品牌口腔灯注册备案资料）</w:t>
      </w:r>
    </w:p>
    <w:p w14:paraId="5BE0EACC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ascii="黑体" w:hAnsi="黑体" w:eastAsia="黑体" w:cs="黑体"/>
          <w:szCs w:val="24"/>
        </w:rPr>
        <w:t>.牙科椅</w:t>
      </w:r>
    </w:p>
    <w:p w14:paraId="4EA468D2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ascii="黑体" w:hAnsi="黑体" w:eastAsia="黑体" w:cs="黑体"/>
          <w:szCs w:val="24"/>
        </w:rPr>
        <w:t>.1</w:t>
      </w:r>
      <w:r>
        <w:rPr>
          <w:rFonts w:hint="eastAsia" w:ascii="黑体" w:hAnsi="黑体" w:eastAsia="黑体" w:cs="黑体"/>
          <w:szCs w:val="24"/>
        </w:rPr>
        <w:t>治疗椅整体采用金属材质骨架和底座，座椅承重范围＞</w:t>
      </w:r>
      <w:r>
        <w:rPr>
          <w:rFonts w:ascii="黑体" w:hAnsi="黑体" w:eastAsia="黑体" w:cs="黑体"/>
          <w:szCs w:val="24"/>
        </w:rPr>
        <w:t xml:space="preserve">160kg，可承受＞160kg*4的载荷试验；座椅升降范围 ：最高＞780mm，最低＜370mm； </w:t>
      </w:r>
      <w:r>
        <w:rPr>
          <w:rFonts w:hint="eastAsia" w:ascii="黑体" w:hAnsi="黑体" w:eastAsia="黑体" w:cs="黑体"/>
          <w:szCs w:val="24"/>
          <w:lang w:eastAsia="zh-CN"/>
        </w:rPr>
        <w:t>（</w:t>
      </w:r>
      <w:r>
        <w:rPr>
          <w:rFonts w:hint="eastAsia" w:ascii="黑体" w:hAnsi="黑体" w:eastAsia="黑体" w:cs="黑体"/>
          <w:szCs w:val="24"/>
          <w:lang w:val="en-US" w:eastAsia="zh-CN"/>
        </w:rPr>
        <w:t>提供</w:t>
      </w:r>
      <w:r>
        <w:rPr>
          <w:rFonts w:ascii="黑体" w:hAnsi="黑体" w:eastAsia="黑体" w:cs="黑体"/>
          <w:szCs w:val="24"/>
        </w:rPr>
        <w:t>具备国家实验室认证的第三方检测机构出具的检验报告</w:t>
      </w:r>
      <w:r>
        <w:rPr>
          <w:rFonts w:hint="eastAsia" w:ascii="黑体" w:hAnsi="黑体" w:eastAsia="黑体" w:cs="黑体"/>
          <w:szCs w:val="24"/>
          <w:lang w:eastAsia="zh-CN"/>
        </w:rPr>
        <w:t>）</w:t>
      </w:r>
    </w:p>
    <w:p w14:paraId="0428F2BF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zCs w:val="24"/>
        </w:rPr>
        <w:t xml:space="preserve">.2 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牙科椅具备直流∕变频∕</w:t>
      </w:r>
      <w:r>
        <w:rPr>
          <w:rFonts w:hint="eastAsia" w:ascii="黑体" w:hAnsi="黑体" w:eastAsia="黑体" w:cs="黑体"/>
          <w:szCs w:val="24"/>
        </w:rPr>
        <w:t>调速系统，装备低压直流电机；</w:t>
      </w:r>
      <w:r>
        <w:rPr>
          <w:rFonts w:hint="eastAsia" w:ascii="黑体" w:hAnsi="黑体" w:eastAsia="黑体" w:cs="黑体"/>
          <w:szCs w:val="24"/>
          <w:lang w:val="en-US" w:eastAsia="zh-CN"/>
        </w:rPr>
        <w:t>牙椅升级速度</w:t>
      </w:r>
      <w:r>
        <w:rPr>
          <w:rFonts w:ascii="黑体" w:hAnsi="黑体" w:eastAsia="黑体" w:cs="黑体"/>
          <w:szCs w:val="24"/>
        </w:rPr>
        <w:t>≥</w:t>
      </w:r>
      <w:r>
        <w:rPr>
          <w:rFonts w:hint="eastAsia" w:ascii="黑体" w:hAnsi="黑体" w:eastAsia="黑体" w:cs="黑体"/>
          <w:szCs w:val="24"/>
          <w:lang w:val="en-US" w:eastAsia="zh-CN"/>
        </w:rPr>
        <w:t>3档可调。</w:t>
      </w:r>
    </w:p>
    <w:p w14:paraId="1117F09F">
      <w:pPr>
        <w:spacing w:line="240" w:lineRule="auto"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黑体" w:hAnsi="黑体" w:eastAsia="黑体" w:cs="黑体"/>
          <w:szCs w:val="24"/>
        </w:rPr>
        <w:t>弯板采用精密铝合金铸造工艺</w:t>
      </w:r>
      <w:r>
        <w:rPr>
          <w:rFonts w:hint="eastAsia" w:ascii="黑体" w:hAnsi="黑体" w:eastAsia="黑体" w:cs="黑体"/>
          <w:szCs w:val="24"/>
          <w:lang w:eastAsia="zh-CN"/>
        </w:rPr>
        <w:t>，</w:t>
      </w:r>
      <w:r>
        <w:rPr>
          <w:rFonts w:hint="eastAsia" w:ascii="黑体" w:hAnsi="黑体" w:eastAsia="黑体" w:cs="黑体"/>
          <w:szCs w:val="24"/>
        </w:rPr>
        <w:t>弯板宽度</w:t>
      </w:r>
      <w:r>
        <w:rPr>
          <w:rFonts w:ascii="黑体" w:hAnsi="黑体" w:eastAsia="黑体" w:cs="黑体"/>
          <w:szCs w:val="24"/>
        </w:rPr>
        <w:t>≥</w:t>
      </w:r>
      <w:r>
        <w:rPr>
          <w:rFonts w:hint="eastAsia" w:ascii="黑体" w:hAnsi="黑体" w:eastAsia="黑体" w:cs="黑体"/>
          <w:szCs w:val="24"/>
        </w:rPr>
        <w:t>1</w:t>
      </w:r>
      <w:r>
        <w:rPr>
          <w:rFonts w:hint="eastAsia" w:ascii="黑体" w:hAnsi="黑体" w:eastAsia="黑体" w:cs="黑体"/>
          <w:szCs w:val="24"/>
          <w:lang w:val="en-US" w:eastAsia="zh-CN"/>
        </w:rPr>
        <w:t>8</w:t>
      </w:r>
      <w:r>
        <w:rPr>
          <w:rFonts w:hint="eastAsia" w:ascii="黑体" w:hAnsi="黑体" w:eastAsia="黑体" w:cs="黑体"/>
          <w:szCs w:val="24"/>
        </w:rPr>
        <w:t>cm，厚度</w:t>
      </w:r>
      <w:r>
        <w:rPr>
          <w:rFonts w:ascii="黑体" w:hAnsi="黑体" w:eastAsia="黑体" w:cs="黑体"/>
          <w:szCs w:val="24"/>
        </w:rPr>
        <w:t>≥</w:t>
      </w:r>
      <w:r>
        <w:rPr>
          <w:rFonts w:hint="eastAsia" w:ascii="黑体" w:hAnsi="黑体" w:eastAsia="黑体" w:cs="黑体"/>
          <w:szCs w:val="24"/>
          <w:lang w:val="en-US" w:eastAsia="zh-CN"/>
        </w:rPr>
        <w:t>15</w:t>
      </w:r>
      <w:r>
        <w:rPr>
          <w:rFonts w:hint="eastAsia" w:ascii="黑体" w:hAnsi="黑体" w:eastAsia="黑体" w:cs="黑体"/>
          <w:szCs w:val="24"/>
        </w:rPr>
        <w:t>mm</w:t>
      </w:r>
      <w:r>
        <w:rPr>
          <w:rFonts w:hint="eastAsia" w:ascii="黑体" w:hAnsi="黑体" w:eastAsia="黑体" w:cs="黑体"/>
          <w:szCs w:val="24"/>
          <w:lang w:eastAsia="zh-CN"/>
        </w:rPr>
        <w:t>，</w:t>
      </w:r>
      <w:r>
        <w:rPr>
          <w:rFonts w:hint="eastAsia" w:ascii="黑体" w:hAnsi="黑体" w:eastAsia="黑体" w:cs="黑体"/>
          <w:szCs w:val="24"/>
          <w:lang w:val="en-US" w:eastAsia="zh-CN"/>
        </w:rPr>
        <w:t>抗压能力强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28ED534B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zCs w:val="24"/>
        </w:rPr>
        <w:t>.4座椅扶手为前翻式设计，扶手连接处位于椅身中部，不阻碍医生腿部动作</w:t>
      </w:r>
      <w:r>
        <w:rPr>
          <w:rFonts w:ascii="黑体" w:hAnsi="黑体" w:eastAsia="黑体" w:cs="黑体"/>
          <w:szCs w:val="24"/>
        </w:rPr>
        <w:t>；</w:t>
      </w:r>
    </w:p>
    <w:p w14:paraId="33A13612">
      <w:pPr>
        <w:pStyle w:val="11"/>
        <w:widowControl/>
        <w:rPr>
          <w:rFonts w:hint="eastAsia" w:ascii="黑体" w:hAnsi="黑体" w:eastAsia="黑体" w:cs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zCs w:val="24"/>
        </w:rPr>
        <w:t>.5治疗椅表面皮革采用接触面无缝工艺缝制，便于感控；皮革表面具备防霉抗菌涂层</w:t>
      </w:r>
      <w:r>
        <w:rPr>
          <w:rFonts w:ascii="黑体" w:hAnsi="黑体" w:eastAsia="黑体" w:cs="黑体"/>
          <w:szCs w:val="24"/>
        </w:rPr>
        <w:t>（需提供投第三方检测报告</w:t>
      </w:r>
      <w:r>
        <w:rPr>
          <w:rFonts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）；</w:t>
      </w:r>
    </w:p>
    <w:p w14:paraId="4AA41180">
      <w:pPr>
        <w:pStyle w:val="11"/>
        <w:widowControl/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zCs w:val="24"/>
        </w:rPr>
        <w:t>.6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具备椅位补偿功能，靠背仰俯操作同时坐垫进行同方向小幅度抬升或回落，让患者治疗体验更舒适；</w:t>
      </w:r>
    </w:p>
    <w:p w14:paraId="203DEE84">
      <w:pPr>
        <w:pStyle w:val="11"/>
        <w:widowControl/>
        <w:numPr>
          <w:ilvl w:val="0"/>
          <w:numId w:val="16"/>
        </w:numP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消毒系统</w:t>
      </w:r>
    </w:p>
    <w:p w14:paraId="54E20081">
      <w:pPr>
        <w:pStyle w:val="11"/>
        <w:widowControl/>
        <w:numPr>
          <w:ilvl w:val="0"/>
          <w:numId w:val="0"/>
        </w:numP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6.1带一键全自动智能消毒系统，一键即可实现水路管道冲洗、消毒液注入、静置、再冲洗全流程，无需手动逐步操作，全流程时长≥22min。</w:t>
      </w:r>
    </w:p>
    <w:p w14:paraId="7B58DE4B">
      <w:pPr>
        <w:pStyle w:val="11"/>
        <w:widowControl/>
        <w:numPr>
          <w:ilvl w:val="0"/>
          <w:numId w:val="0"/>
        </w:numP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6.2具有断电续消、紧急退出等智能管控功能；以应对停电或中途消毒中断等突发情况，避免消毒液残留及消毒不彻底情况。消毒液可覆盖进水水过滤器，避免消毒死角。（提供实物图片或相关技术资料）</w:t>
      </w:r>
    </w:p>
    <w:p w14:paraId="118AF2A2">
      <w:pPr>
        <w:pStyle w:val="11"/>
        <w:widowControl/>
        <w:numPr>
          <w:ilvl w:val="0"/>
          <w:numId w:val="0"/>
        </w:numP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6.3具有一键冲洗开关，可快速进行每日接诊前、不同病患间以及诊疗结束后的管路冲洗，防止交叉感染，保持水路干净。配备同品牌消毒液。</w:t>
      </w:r>
    </w:p>
    <w:p w14:paraId="1EAA7850">
      <w:pPr>
        <w:pStyle w:val="11"/>
        <w:widowControl/>
        <w:numPr>
          <w:ilvl w:val="0"/>
          <w:numId w:val="0"/>
        </w:numPr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7</w:t>
      </w:r>
      <w:r>
        <w:rPr>
          <w:rFonts w:ascii="黑体" w:hAnsi="黑体" w:eastAsia="黑体" w:cs="黑体"/>
          <w:szCs w:val="24"/>
        </w:rPr>
        <w:t>.治疗台单元</w:t>
      </w:r>
    </w:p>
    <w:p w14:paraId="09E2EFB1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szCs w:val="24"/>
          <w:lang w:val="en-US" w:eastAsia="zh-CN"/>
        </w:rPr>
        <w:t>7</w:t>
      </w:r>
      <w:r>
        <w:rPr>
          <w:rFonts w:ascii="黑体" w:hAnsi="黑体" w:eastAsia="黑体" w:cs="黑体"/>
          <w:szCs w:val="24"/>
        </w:rPr>
        <w:t>.1</w:t>
      </w:r>
      <w:r>
        <w:rPr>
          <w:rFonts w:hint="eastAsia" w:ascii="黑体" w:hAnsi="黑体" w:eastAsia="黑体" w:cs="黑体"/>
          <w:szCs w:val="24"/>
        </w:rPr>
        <w:t>医生治疗台为下挂式，</w:t>
      </w:r>
      <w:r>
        <w:rPr>
          <w:rFonts w:ascii="黑体" w:hAnsi="黑体" w:eastAsia="黑体" w:cs="黑体"/>
          <w:szCs w:val="24"/>
        </w:rPr>
        <w:t>配置≥1</w:t>
      </w:r>
      <w:r>
        <w:rPr>
          <w:rFonts w:hint="eastAsia" w:ascii="黑体" w:hAnsi="黑体" w:eastAsia="黑体" w:cs="黑体"/>
          <w:szCs w:val="24"/>
          <w:lang w:val="en-US" w:eastAsia="zh-CN"/>
        </w:rPr>
        <w:t>8</w:t>
      </w:r>
      <w:r>
        <w:rPr>
          <w:rFonts w:ascii="黑体" w:hAnsi="黑体" w:eastAsia="黑体" w:cs="黑体"/>
          <w:szCs w:val="24"/>
        </w:rPr>
        <w:t>功能按键的控制面板</w:t>
      </w:r>
      <w:r>
        <w:rPr>
          <w:rFonts w:hint="eastAsia" w:ascii="黑体" w:hAnsi="黑体" w:eastAsia="黑体" w:cs="黑体"/>
          <w:szCs w:val="24"/>
        </w:rPr>
        <w:t>，内置式低压</w:t>
      </w:r>
      <w:r>
        <w:rPr>
          <w:rFonts w:ascii="黑体" w:hAnsi="黑体" w:eastAsia="黑体" w:cs="黑体"/>
          <w:szCs w:val="24"/>
        </w:rPr>
        <w:t>24伏观灯片</w:t>
      </w:r>
      <w:r>
        <w:rPr>
          <w:rFonts w:hint="eastAsia" w:ascii="黑体" w:hAnsi="黑体" w:eastAsia="黑体" w:cs="黑体"/>
          <w:szCs w:val="24"/>
        </w:rPr>
        <w:t>，</w:t>
      </w:r>
      <w:r>
        <w:rPr>
          <w:rFonts w:hint="eastAsia" w:ascii="黑体" w:hAnsi="黑体" w:eastAsia="黑体" w:cs="黑体"/>
          <w:szCs w:val="24"/>
          <w:lang w:val="en-US" w:eastAsia="zh-CN"/>
        </w:rPr>
        <w:t>可设定医生位≥5个，每个医生位可设定</w:t>
      </w:r>
      <w:r>
        <w:rPr>
          <w:rFonts w:hint="eastAsia" w:ascii="黑体" w:hAnsi="黑体" w:eastAsia="黑体" w:cs="黑体"/>
          <w:szCs w:val="24"/>
        </w:rPr>
        <w:t>≥</w:t>
      </w:r>
      <w:r>
        <w:rPr>
          <w:rFonts w:hint="eastAsia" w:ascii="黑体" w:hAnsi="黑体" w:eastAsia="黑体" w:cs="黑体"/>
          <w:szCs w:val="24"/>
          <w:lang w:val="en-US" w:eastAsia="zh-CN"/>
        </w:rPr>
        <w:t>4</w:t>
      </w:r>
      <w:r>
        <w:rPr>
          <w:rFonts w:ascii="黑体" w:hAnsi="黑体" w:eastAsia="黑体" w:cs="黑体"/>
          <w:szCs w:val="24"/>
        </w:rPr>
        <w:t>个记忆椅位</w:t>
      </w:r>
      <w:r>
        <w:rPr>
          <w:rFonts w:hint="eastAsia" w:ascii="黑体" w:hAnsi="黑体" w:eastAsia="黑体" w:cs="黑体"/>
          <w:szCs w:val="24"/>
        </w:rPr>
        <w:t>控制；配置防滑硅胶垫，可拆卸进行高温高压消毒；</w:t>
      </w:r>
    </w:p>
    <w:p w14:paraId="5298BA11">
      <w:pPr>
        <w:pStyle w:val="11"/>
        <w:widowControl/>
        <w:rPr>
          <w:rFonts w:hint="default" w:ascii="黑体" w:hAnsi="黑体" w:eastAsia="黑体" w:cs="黑体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szCs w:val="24"/>
          <w:lang w:val="en-US" w:eastAsia="zh-CN"/>
        </w:rPr>
        <w:t>7.2具备</w:t>
      </w:r>
      <w:r>
        <w:rPr>
          <w:rFonts w:ascii="黑体" w:hAnsi="黑体" w:eastAsia="黑体" w:cs="黑体"/>
          <w:szCs w:val="24"/>
        </w:rPr>
        <w:t>开机自检</w:t>
      </w:r>
      <w:r>
        <w:rPr>
          <w:rFonts w:hint="eastAsia" w:ascii="黑体" w:hAnsi="黑体" w:eastAsia="黑体" w:cs="黑体"/>
          <w:szCs w:val="24"/>
          <w:lang w:eastAsia="zh-CN"/>
        </w:rPr>
        <w:t>、</w:t>
      </w:r>
      <w:r>
        <w:rPr>
          <w:rFonts w:ascii="黑体" w:hAnsi="黑体" w:eastAsia="黑体" w:cs="黑体"/>
          <w:szCs w:val="24"/>
        </w:rPr>
        <w:t>一键急救</w:t>
      </w:r>
      <w:r>
        <w:rPr>
          <w:rFonts w:hint="eastAsia" w:ascii="黑体" w:hAnsi="黑体" w:eastAsia="黑体" w:cs="黑体"/>
          <w:szCs w:val="24"/>
          <w:lang w:val="en-US" w:eastAsia="zh-CN"/>
        </w:rPr>
        <w:t>位、一键清洁位、一键吐痰、一键复位、锁屏键、灯椅联动、冲痰供水联动、</w:t>
      </w:r>
      <w:r>
        <w:rPr>
          <w:rFonts w:ascii="黑体" w:hAnsi="黑体" w:eastAsia="黑体" w:cs="黑体"/>
          <w:szCs w:val="24"/>
        </w:rPr>
        <w:t>机椅互锁</w:t>
      </w:r>
      <w:r>
        <w:rPr>
          <w:rFonts w:hint="eastAsia" w:ascii="黑体" w:hAnsi="黑体" w:eastAsia="黑体" w:cs="黑体"/>
          <w:szCs w:val="24"/>
          <w:lang w:eastAsia="zh-CN"/>
        </w:rPr>
        <w:t>、</w:t>
      </w:r>
      <w:r>
        <w:rPr>
          <w:rFonts w:hint="eastAsia" w:ascii="黑体" w:hAnsi="黑体" w:eastAsia="黑体" w:cs="黑体"/>
          <w:szCs w:val="24"/>
          <w:lang w:val="en-US" w:eastAsia="zh-CN"/>
        </w:rPr>
        <w:t>故障代码显示、响铃和计时器等功能。（提供公开的网络宣传资料或者彩页，可公开查询）</w:t>
      </w:r>
    </w:p>
    <w:p w14:paraId="6602CFC6">
      <w:pPr>
        <w:pStyle w:val="11"/>
        <w:widowControl/>
        <w:rPr>
          <w:rFonts w:hint="default" w:ascii="黑体" w:hAnsi="黑体" w:eastAsia="黑体" w:cs="黑体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黑体" w:hAnsi="黑体" w:eastAsia="黑体" w:cs="黑体"/>
          <w:szCs w:val="24"/>
          <w:lang w:val="en-US" w:eastAsia="zh-CN"/>
        </w:rPr>
        <w:t>.3具备液晶屏幕触控及物理按键面板双重控制。</w:t>
      </w:r>
    </w:p>
    <w:p w14:paraId="1735FEF1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7</w:t>
      </w:r>
      <w:r>
        <w:rPr>
          <w:rFonts w:ascii="黑体" w:hAnsi="黑体" w:eastAsia="黑体" w:cs="黑体"/>
          <w:szCs w:val="24"/>
        </w:rPr>
        <w:t>.</w:t>
      </w:r>
      <w:r>
        <w:rPr>
          <w:rFonts w:hint="eastAsia" w:ascii="黑体" w:hAnsi="黑体" w:eastAsia="黑体" w:cs="黑体"/>
          <w:szCs w:val="24"/>
          <w:lang w:val="en-US" w:eastAsia="zh-CN"/>
        </w:rPr>
        <w:t>4</w:t>
      </w:r>
      <w:r>
        <w:rPr>
          <w:rFonts w:ascii="黑体" w:hAnsi="黑体" w:eastAsia="黑体" w:cs="黑体"/>
          <w:szCs w:val="24"/>
        </w:rPr>
        <w:t>平衡臂可承受重≥5KG，放置重物时运行移动平稳顺滑，稳定可靠。（具备国家实验室认证的第三方检测机构出具的检验报告）</w:t>
      </w:r>
    </w:p>
    <w:p w14:paraId="0D8218AE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8</w:t>
      </w:r>
      <w:r>
        <w:rPr>
          <w:rFonts w:ascii="黑体" w:hAnsi="黑体" w:eastAsia="黑体" w:cs="黑体"/>
          <w:szCs w:val="24"/>
        </w:rPr>
        <w:t>侧箱单元</w:t>
      </w:r>
    </w:p>
    <w:p w14:paraId="086DC00F">
      <w:pPr>
        <w:pStyle w:val="11"/>
        <w:widowControl/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1可旋转式</w:t>
      </w:r>
      <w:r>
        <w:rPr>
          <w:rFonts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侧箱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内部为整体铸造铝合金箱架，重量轻，耐腐蚀（需提第三方检测报告）；</w:t>
      </w:r>
    </w:p>
    <w:p w14:paraId="756DB804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hint="eastAsia" w:ascii="黑体" w:hAnsi="黑体" w:eastAsia="黑体" w:cs="黑体"/>
          <w:szCs w:val="24"/>
        </w:rPr>
        <w:t>侧箱外壳材质为优质高分子材料，耐酒精消毒，耐UV老化（需第三方检测报告）；</w:t>
      </w:r>
    </w:p>
    <w:p w14:paraId="0E402A6E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8</w:t>
      </w:r>
      <w:r>
        <w:rPr>
          <w:rFonts w:ascii="黑体" w:hAnsi="黑体" w:eastAsia="黑体" w:cs="黑体"/>
          <w:szCs w:val="24"/>
        </w:rPr>
        <w:t>.</w:t>
      </w:r>
      <w:r>
        <w:rPr>
          <w:rFonts w:hint="eastAsia" w:ascii="黑体" w:hAnsi="黑体" w:eastAsia="黑体" w:cs="黑体"/>
          <w:szCs w:val="24"/>
        </w:rPr>
        <w:t>3</w:t>
      </w:r>
      <w:r>
        <w:rPr>
          <w:rFonts w:ascii="黑体" w:hAnsi="黑体" w:eastAsia="黑体" w:cs="黑体"/>
          <w:szCs w:val="24"/>
        </w:rPr>
        <w:t>可旋转≥90°的一体式陶瓷痰盂缸；具有漱口水恒温系统，具有超温安全保护；水杯供水系统和冲痰盂系统可根据医生的要求设定时间。</w:t>
      </w:r>
    </w:p>
    <w:p w14:paraId="4EA87B54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8</w:t>
      </w:r>
      <w:r>
        <w:rPr>
          <w:rFonts w:ascii="黑体" w:hAnsi="黑体" w:eastAsia="黑体" w:cs="黑体"/>
          <w:szCs w:val="24"/>
        </w:rPr>
        <w:t>.</w:t>
      </w:r>
      <w:r>
        <w:rPr>
          <w:rFonts w:hint="eastAsia" w:ascii="黑体" w:hAnsi="黑体" w:eastAsia="黑体" w:cs="黑体"/>
          <w:szCs w:val="24"/>
        </w:rPr>
        <w:t>4</w:t>
      </w:r>
      <w:r>
        <w:rPr>
          <w:rFonts w:ascii="黑体" w:hAnsi="黑体" w:eastAsia="黑体" w:cs="黑体"/>
          <w:szCs w:val="24"/>
        </w:rPr>
        <w:t>强弱吸过滤器为旋入式设计，其过滤精度≤1㎜</w:t>
      </w:r>
      <w:r>
        <w:rPr>
          <w:rFonts w:ascii="Calibri" w:hAnsi="Calibri" w:eastAsia="黑体" w:cs="Calibri"/>
          <w:szCs w:val="24"/>
        </w:rPr>
        <w:t>²</w:t>
      </w:r>
      <w:r>
        <w:rPr>
          <w:rFonts w:ascii="黑体" w:hAnsi="黑体" w:eastAsia="黑体" w:cs="黑体"/>
          <w:szCs w:val="24"/>
        </w:rPr>
        <w:t>，有效过滤面积≥600㎜</w:t>
      </w:r>
      <w:r>
        <w:rPr>
          <w:rFonts w:ascii="Calibri" w:hAnsi="Calibri" w:eastAsia="黑体" w:cs="Calibri"/>
          <w:szCs w:val="24"/>
        </w:rPr>
        <w:t>²</w:t>
      </w:r>
      <w:r>
        <w:rPr>
          <w:rFonts w:ascii="黑体" w:hAnsi="黑体" w:eastAsia="黑体" w:cs="黑体"/>
          <w:szCs w:val="24"/>
        </w:rPr>
        <w:t>，过滤体积≥20㎜</w:t>
      </w:r>
      <w:r>
        <w:rPr>
          <w:rFonts w:ascii="Calibri" w:hAnsi="Calibri" w:eastAsia="黑体" w:cs="Calibri"/>
          <w:szCs w:val="24"/>
        </w:rPr>
        <w:t>³</w:t>
      </w:r>
      <w:r>
        <w:rPr>
          <w:rFonts w:ascii="黑体" w:hAnsi="黑体" w:eastAsia="黑体" w:cs="黑体"/>
          <w:szCs w:val="24"/>
        </w:rPr>
        <w:t>，能更加精细地过滤，并可容纳更多固体污染物而不堵塞过滤器（需第三方检测报告）；强弱吸过滤器滤网采用医用高分子材料，耐酸碱腐蚀（需提供第三方检测报告）；</w:t>
      </w:r>
    </w:p>
    <w:p w14:paraId="5ED011A2">
      <w:pPr>
        <w:pStyle w:val="11"/>
        <w:widowControl/>
        <w:rPr>
          <w:rFonts w:hint="eastAsia" w:ascii="黑体" w:hAnsi="黑体" w:eastAsia="黑体" w:cs="黑体"/>
          <w:szCs w:val="24"/>
          <w:lang w:val="en-US" w:eastAsia="zh-CN"/>
        </w:rPr>
      </w:pPr>
      <w:r>
        <w:rPr>
          <w:rFonts w:hint="eastAsia" w:ascii="黑体" w:hAnsi="黑体" w:eastAsia="黑体" w:cs="黑体"/>
          <w:szCs w:val="24"/>
          <w:lang w:val="en-US" w:eastAsia="zh-CN"/>
        </w:rPr>
        <w:t>8</w:t>
      </w:r>
      <w:r>
        <w:rPr>
          <w:rFonts w:ascii="黑体" w:hAnsi="黑体" w:eastAsia="黑体" w:cs="黑体"/>
          <w:szCs w:val="24"/>
        </w:rPr>
        <w:t>.</w:t>
      </w:r>
      <w:r>
        <w:rPr>
          <w:rFonts w:hint="eastAsia" w:ascii="黑体" w:hAnsi="黑体" w:eastAsia="黑体" w:cs="黑体"/>
          <w:szCs w:val="24"/>
        </w:rPr>
        <w:t>5</w:t>
      </w:r>
      <w:r>
        <w:rPr>
          <w:rFonts w:ascii="黑体" w:hAnsi="黑体" w:eastAsia="黑体" w:cs="黑体"/>
          <w:szCs w:val="24"/>
        </w:rPr>
        <w:t>配备纯净水系统</w:t>
      </w:r>
      <w:r>
        <w:rPr>
          <w:rFonts w:hint="eastAsia" w:ascii="黑体" w:hAnsi="黑体" w:eastAsia="黑体" w:cs="黑体"/>
          <w:szCs w:val="24"/>
          <w:lang w:val="en-US" w:eastAsia="zh-CN"/>
        </w:rPr>
        <w:t>和消毒水系统</w:t>
      </w:r>
      <w:r>
        <w:rPr>
          <w:rFonts w:ascii="黑体" w:hAnsi="黑体" w:eastAsia="黑体" w:cs="黑体"/>
          <w:szCs w:val="24"/>
        </w:rPr>
        <w:t>，纯净水瓶容量≥</w:t>
      </w:r>
      <w:r>
        <w:rPr>
          <w:rFonts w:hint="eastAsia" w:ascii="黑体" w:hAnsi="黑体" w:eastAsia="黑体" w:cs="黑体"/>
          <w:szCs w:val="24"/>
        </w:rPr>
        <w:t>1</w:t>
      </w:r>
      <w:r>
        <w:rPr>
          <w:rFonts w:hint="eastAsia" w:ascii="黑体" w:hAnsi="黑体" w:eastAsia="黑体" w:cs="黑体"/>
          <w:szCs w:val="24"/>
          <w:lang w:val="en-US" w:eastAsia="zh-CN"/>
        </w:rPr>
        <w:t>5</w:t>
      </w:r>
      <w:r>
        <w:rPr>
          <w:rFonts w:ascii="黑体" w:hAnsi="黑体" w:eastAsia="黑体" w:cs="黑体"/>
          <w:szCs w:val="24"/>
        </w:rPr>
        <w:t>00ml；</w:t>
      </w:r>
      <w:r>
        <w:rPr>
          <w:rFonts w:hint="eastAsia" w:ascii="黑体" w:hAnsi="黑体" w:eastAsia="黑体" w:cs="黑体"/>
          <w:szCs w:val="24"/>
          <w:lang w:val="en-US" w:eastAsia="zh-CN"/>
        </w:rPr>
        <w:t>消毒水瓶</w:t>
      </w:r>
      <w:r>
        <w:rPr>
          <w:rFonts w:ascii="黑体" w:hAnsi="黑体" w:eastAsia="黑体" w:cs="黑体"/>
          <w:szCs w:val="24"/>
        </w:rPr>
        <w:t>≥</w:t>
      </w:r>
      <w:r>
        <w:rPr>
          <w:rFonts w:hint="eastAsia" w:ascii="黑体" w:hAnsi="黑体" w:eastAsia="黑体" w:cs="黑体"/>
          <w:szCs w:val="24"/>
          <w:lang w:val="en-US" w:eastAsia="zh-CN"/>
        </w:rPr>
        <w:t>1300ml。</w:t>
      </w:r>
    </w:p>
    <w:p w14:paraId="5B521393">
      <w:pPr>
        <w:pStyle w:val="11"/>
        <w:widowControl/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8.6侧箱双边侧门可完全打开，无需工具就可以快速拆卸和安装。侧箱水气与电路分离设计，采用英制聚醚管，耐高压，耐水解，耐酸碱腐蚀，</w:t>
      </w:r>
      <w:r>
        <w:rPr>
          <w:rFonts w:hint="eastAsia" w:ascii="黑体" w:hAnsi="黑体" w:eastAsia="黑体" w:cs="黑体"/>
          <w:szCs w:val="24"/>
        </w:rPr>
        <w:t>≥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4种颜色用于区分水气路，便于检修。</w:t>
      </w:r>
    </w:p>
    <w:p w14:paraId="1064A9EA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8.7侧箱通过牙椅坐垫中心下方连接，可旋转至牙椅前方。</w:t>
      </w:r>
    </w:p>
    <w:p w14:paraId="74DEB56D">
      <w:pPr>
        <w:pStyle w:val="11"/>
        <w:widowControl/>
        <w:numPr>
          <w:ilvl w:val="0"/>
          <w:numId w:val="17"/>
        </w:numP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助手位单元：配置可旋转助手杆，带≥10</w:t>
      </w:r>
      <w:r>
        <w:rPr>
          <w:rFonts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功能按键的助手控制面板和助手搁置台；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带三用枪、强弱吸手柄各1支；</w:t>
      </w:r>
    </w:p>
    <w:p w14:paraId="0127D6D2">
      <w:pPr>
        <w:pStyle w:val="11"/>
        <w:widowControl/>
        <w:numPr>
          <w:ilvl w:val="0"/>
          <w:numId w:val="17"/>
        </w:numP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地箱：可选内外置地箱；内置封闭电源：</w:t>
      </w:r>
      <w:bookmarkStart w:id="72" w:name="_Hlk172279884"/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配置下水口密闭连接组件，可有效隔绝下水管道对诊室造成的病菌、异味和污水回流的污染。</w:t>
      </w:r>
      <w:bookmarkEnd w:id="72"/>
    </w:p>
    <w:p w14:paraId="31A2B553">
      <w:pPr>
        <w:pStyle w:val="11"/>
        <w:widowControl/>
        <w:rPr>
          <w:rFonts w:hint="eastAsia" w:ascii="黑体" w:hAnsi="黑体" w:eastAsia="黑体" w:cs="黑体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 w:cs="黑体"/>
          <w:szCs w:val="24"/>
        </w:rPr>
        <w:t>配置多功能脚踏开关，可控制牙椅升降俯仰、手机工作、水杯供水、冲洗痰盂</w:t>
      </w:r>
      <w:r>
        <w:rPr>
          <w:rFonts w:hint="eastAsia" w:ascii="黑体" w:hAnsi="黑体" w:eastAsia="黑体" w:cs="黑体"/>
          <w:szCs w:val="24"/>
          <w:lang w:eastAsia="zh-CN"/>
        </w:rPr>
        <w:t>、</w:t>
      </w:r>
      <w:r>
        <w:rPr>
          <w:rFonts w:hint="eastAsia" w:ascii="黑体" w:hAnsi="黑体" w:eastAsia="黑体" w:cs="黑体"/>
          <w:szCs w:val="24"/>
          <w:lang w:val="en-US" w:eastAsia="zh-CN"/>
        </w:rPr>
        <w:t>口腔灯开关、吹屑气功能</w:t>
      </w:r>
      <w:r>
        <w:rPr>
          <w:rFonts w:hint="eastAsia" w:ascii="黑体" w:hAnsi="黑体" w:eastAsia="黑体" w:cs="黑体"/>
          <w:szCs w:val="24"/>
        </w:rPr>
        <w:t>。</w:t>
      </w:r>
    </w:p>
    <w:p w14:paraId="4A12FC3B">
      <w:pPr>
        <w:pStyle w:val="11"/>
        <w:widowControl/>
        <w:rPr>
          <w:rFonts w:ascii="黑体" w:hAnsi="黑体" w:eastAsia="黑体" w:cs="黑体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ascii="黑体" w:hAnsi="黑体" w:eastAsia="黑体" w:cs="黑体"/>
          <w:szCs w:val="24"/>
        </w:rPr>
        <w:t>1</w:t>
      </w:r>
      <w:r>
        <w:rPr>
          <w:rFonts w:hint="eastAsia" w:ascii="黑体" w:hAnsi="黑体" w:eastAsia="黑体" w:cs="黑体"/>
          <w:szCs w:val="24"/>
          <w:lang w:val="en-US" w:eastAsia="zh-CN"/>
        </w:rPr>
        <w:t>2</w:t>
      </w:r>
      <w:r>
        <w:rPr>
          <w:rFonts w:ascii="黑体" w:hAnsi="黑体" w:eastAsia="黑体" w:cs="黑体"/>
          <w:szCs w:val="24"/>
        </w:rPr>
        <w:t>.配置医生椅</w:t>
      </w:r>
      <w:r>
        <w:rPr>
          <w:rFonts w:hint="eastAsia" w:ascii="黑体" w:hAnsi="黑体" w:eastAsia="黑体" w:cs="黑体"/>
          <w:szCs w:val="24"/>
        </w:rPr>
        <w:t>，</w:t>
      </w:r>
      <w:r>
        <w:rPr>
          <w:rFonts w:ascii="黑体" w:hAnsi="黑体" w:eastAsia="黑体" w:cs="黑体"/>
          <w:szCs w:val="24"/>
        </w:rPr>
        <w:t>至少有6个方位可调节</w:t>
      </w:r>
      <w:r>
        <w:rPr>
          <w:rFonts w:hint="eastAsia" w:ascii="黑体" w:hAnsi="黑体" w:eastAsia="黑体" w:cs="黑体"/>
          <w:szCs w:val="24"/>
          <w:lang w:val="en-US" w:eastAsia="zh-CN"/>
        </w:rPr>
        <w:t>,配备护士椅</w:t>
      </w:r>
      <w:r>
        <w:rPr>
          <w:rFonts w:ascii="黑体" w:hAnsi="黑体" w:eastAsia="黑体" w:cs="黑体"/>
          <w:szCs w:val="24"/>
        </w:rPr>
        <w:t xml:space="preserve">； </w:t>
      </w:r>
    </w:p>
    <w:p w14:paraId="743EA888">
      <w:pPr>
        <w:pStyle w:val="11"/>
        <w:widowControl/>
        <w:rPr>
          <w:rFonts w:hint="eastAsia" w:ascii="黑体" w:hAnsi="黑体" w:eastAsia="黑体" w:cs="黑体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szCs w:val="24"/>
          <w:lang w:val="en-US" w:eastAsia="zh-CN"/>
        </w:rPr>
        <w:t>13.配置内置式洁牙机，每台洁牙机至少配3个洁牙手柄；</w:t>
      </w:r>
    </w:p>
    <w:p w14:paraId="471847BB">
      <w:pPr>
        <w:pStyle w:val="11"/>
        <w:widowControl/>
        <w:rPr>
          <w:rFonts w:hint="eastAsia" w:ascii="黑体" w:hAnsi="黑体" w:eastAsia="黑体" w:cs="黑体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lang w:eastAsia="zh-CN"/>
        </w:rPr>
        <w:t>★</w:t>
      </w:r>
      <w:r>
        <w:rPr>
          <w:rFonts w:hint="eastAsia" w:ascii="黑体" w:hAnsi="黑体" w:eastAsia="黑体" w:cs="黑体"/>
          <w:szCs w:val="24"/>
          <w:lang w:val="en-US" w:eastAsia="zh-CN"/>
        </w:rPr>
        <w:t>14.至少配置2条内窥镜。</w:t>
      </w:r>
    </w:p>
    <w:p w14:paraId="2F92791C">
      <w:pPr>
        <w:pStyle w:val="8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668D28"/>
    <w:multiLevelType w:val="singleLevel"/>
    <w:tmpl w:val="84668D28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6102925"/>
    <w:multiLevelType w:val="singleLevel"/>
    <w:tmpl w:val="E61029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5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6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2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51174C5A"/>
    <w:multiLevelType w:val="singleLevel"/>
    <w:tmpl w:val="51174C5A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5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6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7"/>
  </w:num>
  <w:num w:numId="2">
    <w:abstractNumId w:val="14"/>
  </w:num>
  <w:num w:numId="3">
    <w:abstractNumId w:val="9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12"/>
  </w:num>
  <w:num w:numId="11">
    <w:abstractNumId w:val="16"/>
  </w:num>
  <w:num w:numId="12">
    <w:abstractNumId w:val="11"/>
  </w:num>
  <w:num w:numId="13">
    <w:abstractNumId w:val="10"/>
  </w:num>
  <w:num w:numId="14">
    <w:abstractNumId w:val="15"/>
  </w:num>
  <w:num w:numId="15">
    <w:abstractNumId w:val="2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065748E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533015"/>
    <w:rsid w:val="0E6A4ABA"/>
    <w:rsid w:val="12F87561"/>
    <w:rsid w:val="133B237E"/>
    <w:rsid w:val="15E30BBC"/>
    <w:rsid w:val="177249E0"/>
    <w:rsid w:val="187A25A3"/>
    <w:rsid w:val="1AC72D99"/>
    <w:rsid w:val="1B227989"/>
    <w:rsid w:val="1B6D7998"/>
    <w:rsid w:val="1CD221A8"/>
    <w:rsid w:val="1FA63478"/>
    <w:rsid w:val="208631DE"/>
    <w:rsid w:val="21165512"/>
    <w:rsid w:val="2203599C"/>
    <w:rsid w:val="227973D9"/>
    <w:rsid w:val="23855B5C"/>
    <w:rsid w:val="26103FA2"/>
    <w:rsid w:val="272463D5"/>
    <w:rsid w:val="27822A1D"/>
    <w:rsid w:val="278C0687"/>
    <w:rsid w:val="27DF39CB"/>
    <w:rsid w:val="28E178C4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E30773"/>
    <w:rsid w:val="36AB30B8"/>
    <w:rsid w:val="37853850"/>
    <w:rsid w:val="3836459E"/>
    <w:rsid w:val="396A6D15"/>
    <w:rsid w:val="3AB17449"/>
    <w:rsid w:val="3B2A0FAA"/>
    <w:rsid w:val="3B5C1177"/>
    <w:rsid w:val="3C95757C"/>
    <w:rsid w:val="3FC20A8E"/>
    <w:rsid w:val="4101455B"/>
    <w:rsid w:val="42E21731"/>
    <w:rsid w:val="431E7646"/>
    <w:rsid w:val="43EF2D90"/>
    <w:rsid w:val="459F7D10"/>
    <w:rsid w:val="45D0608B"/>
    <w:rsid w:val="49AE4D9E"/>
    <w:rsid w:val="4A6B44FA"/>
    <w:rsid w:val="4A9E0025"/>
    <w:rsid w:val="4B46773A"/>
    <w:rsid w:val="4C187373"/>
    <w:rsid w:val="4D5252A6"/>
    <w:rsid w:val="518F2ABC"/>
    <w:rsid w:val="533001C7"/>
    <w:rsid w:val="548A58D0"/>
    <w:rsid w:val="55225FCA"/>
    <w:rsid w:val="5542152E"/>
    <w:rsid w:val="57407733"/>
    <w:rsid w:val="57A4546D"/>
    <w:rsid w:val="58FB0E22"/>
    <w:rsid w:val="59272500"/>
    <w:rsid w:val="5BED59B0"/>
    <w:rsid w:val="5C076A71"/>
    <w:rsid w:val="5C143F58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"/>
    <w:basedOn w:val="1"/>
    <w:next w:val="6"/>
    <w:qFormat/>
    <w:uiPriority w:val="99"/>
    <w:pPr>
      <w:spacing w:line="420" w:lineRule="auto"/>
    </w:pPr>
  </w:style>
  <w:style w:type="paragraph" w:styleId="6">
    <w:name w:val="toc 2"/>
    <w:basedOn w:val="1"/>
    <w:next w:val="1"/>
    <w:qFormat/>
    <w:uiPriority w:val="39"/>
    <w:pPr>
      <w:ind w:left="200" w:leftChars="200"/>
    </w:pPr>
    <w:rPr>
      <w:rFonts w:cs="黑体"/>
    </w:rPr>
  </w:style>
  <w:style w:type="paragraph" w:styleId="7">
    <w:name w:val="Body Text Indent"/>
    <w:basedOn w:val="1"/>
    <w:next w:val="8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8">
    <w:name w:val="Body Text First Indent 2"/>
    <w:basedOn w:val="7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9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1">
    <w:name w:val="Normal (Web)"/>
    <w:basedOn w:val="1"/>
    <w:unhideWhenUsed/>
    <w:qFormat/>
    <w:uiPriority w:val="99"/>
    <w:rPr>
      <w:sz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6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7">
    <w:name w:val="正文缩进2"/>
    <w:basedOn w:val="1"/>
    <w:qFormat/>
    <w:uiPriority w:val="0"/>
    <w:pPr>
      <w:ind w:firstLine="20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6719</Words>
  <Characters>7044</Characters>
  <Lines>0</Lines>
  <Paragraphs>0</Paragraphs>
  <TotalTime>5</TotalTime>
  <ScaleCrop>false</ScaleCrop>
  <LinksUpToDate>false</LinksUpToDate>
  <CharactersWithSpaces>7184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2026-05-08T03:54:15Z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F78F32E914F641459C3E003D812836EC_13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