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9B553A">
      <w:pPr>
        <w:spacing w:line="360" w:lineRule="auto"/>
        <w:rPr>
          <w:rFonts w:hint="eastAsia" w:ascii="宋体" w:hAnsi="宋体" w:eastAsia="宋体" w:cs="宋体"/>
          <w:b/>
          <w:sz w:val="36"/>
          <w:szCs w:val="36"/>
        </w:rPr>
      </w:pPr>
    </w:p>
    <w:p w14:paraId="3710530B">
      <w:pPr>
        <w:jc w:val="center"/>
        <w:rPr>
          <w:rFonts w:hint="eastAsia" w:ascii="宋体" w:hAnsi="宋体" w:eastAsia="宋体" w:cs="宋体"/>
          <w:b/>
          <w:bCs/>
          <w:sz w:val="72"/>
          <w:szCs w:val="72"/>
        </w:rPr>
      </w:pPr>
    </w:p>
    <w:p w14:paraId="57E988A6">
      <w:pPr>
        <w:jc w:val="center"/>
        <w:rPr>
          <w:rFonts w:hint="eastAsia" w:ascii="宋体" w:hAnsi="宋体" w:eastAsia="宋体" w:cs="宋体"/>
          <w:b/>
          <w:bCs/>
          <w:sz w:val="72"/>
          <w:szCs w:val="72"/>
          <w:highlight w:val="none"/>
        </w:rPr>
      </w:pPr>
      <w:r>
        <w:rPr>
          <w:rFonts w:hint="eastAsia" w:ascii="宋体" w:hAnsi="宋体" w:eastAsia="宋体" w:cs="宋体"/>
          <w:b/>
          <w:kern w:val="0"/>
          <w:sz w:val="72"/>
          <w:szCs w:val="72"/>
          <w:highlight w:val="none"/>
          <w:lang w:eastAsia="zh-CN"/>
        </w:rPr>
        <w:t>洪湖市人民医院</w:t>
      </w:r>
      <w:r>
        <w:rPr>
          <w:rFonts w:hint="eastAsia" w:ascii="宋体" w:hAnsi="宋体" w:eastAsia="宋体" w:cs="宋体"/>
          <w:b/>
          <w:kern w:val="0"/>
          <w:sz w:val="72"/>
          <w:szCs w:val="72"/>
          <w:highlight w:val="none"/>
        </w:rPr>
        <w:t>招标代理机构遴选项目</w:t>
      </w:r>
    </w:p>
    <w:p w14:paraId="564E8F56">
      <w:pPr>
        <w:jc w:val="center"/>
        <w:rPr>
          <w:rFonts w:hint="eastAsia" w:ascii="宋体" w:hAnsi="宋体" w:eastAsia="宋体" w:cs="宋体"/>
          <w:szCs w:val="72"/>
          <w:highlight w:val="none"/>
        </w:rPr>
      </w:pPr>
      <w:r>
        <w:rPr>
          <w:rFonts w:hint="eastAsia" w:ascii="宋体" w:hAnsi="宋体" w:eastAsia="宋体" w:cs="宋体"/>
          <w:b/>
          <w:bCs/>
          <w:sz w:val="72"/>
          <w:szCs w:val="72"/>
          <w:highlight w:val="none"/>
        </w:rPr>
        <w:t>竞争性磋商文件</w:t>
      </w:r>
    </w:p>
    <w:p w14:paraId="039AE9BC">
      <w:pPr>
        <w:tabs>
          <w:tab w:val="left" w:pos="2604"/>
        </w:tabs>
        <w:spacing w:line="360" w:lineRule="auto"/>
        <w:ind w:firstLine="2560" w:firstLineChars="850"/>
        <w:rPr>
          <w:rFonts w:hint="eastAsia" w:ascii="宋体" w:hAnsi="宋体" w:eastAsia="宋体" w:cs="宋体"/>
          <w:b/>
          <w:sz w:val="30"/>
          <w:szCs w:val="30"/>
          <w:highlight w:val="none"/>
        </w:rPr>
      </w:pPr>
    </w:p>
    <w:p w14:paraId="18B89448">
      <w:pPr>
        <w:spacing w:line="360" w:lineRule="auto"/>
        <w:jc w:val="center"/>
        <w:rPr>
          <w:rFonts w:hint="eastAsia" w:ascii="宋体" w:hAnsi="宋体" w:eastAsia="宋体" w:cs="宋体"/>
          <w:b/>
          <w:sz w:val="32"/>
          <w:szCs w:val="32"/>
          <w:highlight w:val="none"/>
        </w:rPr>
      </w:pPr>
    </w:p>
    <w:p w14:paraId="3E126864">
      <w:pPr>
        <w:pStyle w:val="21"/>
        <w:ind w:left="0" w:leftChars="0" w:firstLine="0" w:firstLineChars="0"/>
        <w:rPr>
          <w:rFonts w:hint="eastAsia" w:ascii="宋体" w:hAnsi="宋体" w:eastAsia="宋体" w:cs="宋体"/>
          <w:highlight w:val="none"/>
        </w:rPr>
      </w:pPr>
    </w:p>
    <w:p w14:paraId="71202256">
      <w:pPr>
        <w:spacing w:line="360" w:lineRule="auto"/>
        <w:jc w:val="center"/>
        <w:rPr>
          <w:rFonts w:hint="eastAsia" w:ascii="宋体" w:hAnsi="宋体" w:eastAsia="宋体" w:cs="宋体"/>
          <w:b/>
          <w:sz w:val="32"/>
          <w:szCs w:val="32"/>
          <w:highlight w:val="none"/>
        </w:rPr>
      </w:pPr>
    </w:p>
    <w:p w14:paraId="3605C0E6">
      <w:pPr>
        <w:spacing w:line="480" w:lineRule="auto"/>
        <w:ind w:firstLine="1446" w:firstLineChars="400"/>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项目名称：</w:t>
      </w:r>
      <w:r>
        <w:rPr>
          <w:rFonts w:hint="eastAsia" w:ascii="宋体" w:hAnsi="宋体" w:eastAsia="宋体" w:cs="宋体"/>
          <w:b/>
          <w:color w:val="auto"/>
          <w:sz w:val="36"/>
          <w:szCs w:val="36"/>
          <w:highlight w:val="none"/>
          <w:lang w:eastAsia="zh-CN"/>
        </w:rPr>
        <w:t>洪湖市人民医院</w:t>
      </w:r>
      <w:r>
        <w:rPr>
          <w:rFonts w:hint="eastAsia" w:ascii="宋体" w:hAnsi="宋体" w:eastAsia="宋体" w:cs="宋体"/>
          <w:b/>
          <w:color w:val="auto"/>
          <w:sz w:val="36"/>
          <w:szCs w:val="36"/>
          <w:highlight w:val="none"/>
        </w:rPr>
        <w:t>招标代理机构遴选项目</w:t>
      </w:r>
    </w:p>
    <w:p w14:paraId="668A4CA0">
      <w:pPr>
        <w:tabs>
          <w:tab w:val="left" w:pos="2604"/>
        </w:tabs>
        <w:spacing w:line="360" w:lineRule="auto"/>
        <w:ind w:firstLine="1446" w:firstLineChars="400"/>
        <w:rPr>
          <w:rFonts w:hint="default" w:ascii="宋体" w:hAnsi="宋体" w:eastAsia="宋体" w:cs="宋体"/>
          <w:b/>
          <w:color w:val="auto"/>
          <w:sz w:val="36"/>
          <w:szCs w:val="36"/>
          <w:highlight w:val="none"/>
          <w:lang w:val="en-US" w:eastAsia="zh-CN"/>
        </w:rPr>
      </w:pPr>
      <w:r>
        <w:rPr>
          <w:rFonts w:hint="eastAsia" w:ascii="宋体" w:hAnsi="宋体" w:eastAsia="宋体" w:cs="宋体"/>
          <w:b/>
          <w:color w:val="auto"/>
          <w:sz w:val="36"/>
          <w:szCs w:val="36"/>
          <w:highlight w:val="none"/>
        </w:rPr>
        <w:t>项目编号：</w:t>
      </w:r>
      <w:r>
        <w:rPr>
          <w:rFonts w:hint="eastAsia" w:ascii="宋体" w:hAnsi="宋体" w:cs="宋体"/>
          <w:b/>
          <w:color w:val="auto"/>
          <w:sz w:val="36"/>
          <w:szCs w:val="36"/>
          <w:highlight w:val="none"/>
          <w:lang w:val="en-US" w:eastAsia="zh-CN"/>
        </w:rPr>
        <w:t>HHRMYYCWK-20260902</w:t>
      </w:r>
    </w:p>
    <w:p w14:paraId="0EC8338E">
      <w:pPr>
        <w:spacing w:line="360" w:lineRule="auto"/>
        <w:rPr>
          <w:rFonts w:hint="eastAsia" w:ascii="宋体" w:hAnsi="宋体" w:eastAsia="宋体" w:cs="宋体"/>
          <w:b/>
          <w:color w:val="auto"/>
          <w:sz w:val="30"/>
          <w:szCs w:val="30"/>
          <w:highlight w:val="none"/>
          <w:lang w:val="zh-CN"/>
        </w:rPr>
      </w:pPr>
    </w:p>
    <w:p w14:paraId="060A3F2B">
      <w:pPr>
        <w:spacing w:line="360" w:lineRule="auto"/>
        <w:rPr>
          <w:rFonts w:hint="eastAsia" w:ascii="宋体" w:hAnsi="宋体" w:eastAsia="宋体" w:cs="宋体"/>
          <w:b/>
          <w:sz w:val="30"/>
          <w:szCs w:val="30"/>
          <w:highlight w:val="none"/>
          <w:lang w:val="zh-CN"/>
        </w:rPr>
      </w:pPr>
    </w:p>
    <w:p w14:paraId="5B185C86">
      <w:pPr>
        <w:spacing w:line="360" w:lineRule="auto"/>
        <w:rPr>
          <w:rFonts w:hint="eastAsia" w:ascii="宋体" w:hAnsi="宋体" w:eastAsia="宋体" w:cs="宋体"/>
          <w:b/>
          <w:sz w:val="30"/>
          <w:szCs w:val="30"/>
          <w:highlight w:val="none"/>
          <w:lang w:val="zh-CN"/>
        </w:rPr>
      </w:pPr>
    </w:p>
    <w:p w14:paraId="14AAB142">
      <w:pPr>
        <w:spacing w:line="360" w:lineRule="auto"/>
        <w:rPr>
          <w:rFonts w:hint="eastAsia" w:ascii="宋体" w:hAnsi="宋体" w:eastAsia="宋体" w:cs="宋体"/>
          <w:b/>
          <w:sz w:val="30"/>
          <w:szCs w:val="30"/>
          <w:highlight w:val="none"/>
          <w:lang w:val="zh-CN"/>
        </w:rPr>
      </w:pPr>
    </w:p>
    <w:p w14:paraId="1E7F3135">
      <w:pPr>
        <w:pStyle w:val="21"/>
        <w:rPr>
          <w:rFonts w:hint="eastAsia" w:ascii="宋体" w:hAnsi="宋体" w:eastAsia="宋体" w:cs="宋体"/>
          <w:highlight w:val="none"/>
          <w:lang w:val="zh-CN"/>
        </w:rPr>
      </w:pPr>
    </w:p>
    <w:p w14:paraId="0A70B61A">
      <w:pPr>
        <w:spacing w:line="360" w:lineRule="auto"/>
        <w:jc w:val="center"/>
        <w:rPr>
          <w:rFonts w:hint="eastAsia" w:ascii="宋体" w:hAnsi="宋体" w:eastAsia="宋体" w:cs="宋体"/>
          <w:b/>
          <w:sz w:val="36"/>
          <w:szCs w:val="36"/>
          <w:highlight w:val="none"/>
          <w:lang w:val="zh-CN"/>
        </w:rPr>
      </w:pPr>
      <w:r>
        <w:rPr>
          <w:rFonts w:hint="eastAsia" w:ascii="宋体" w:hAnsi="宋体" w:eastAsia="宋体" w:cs="宋体"/>
          <w:b/>
          <w:sz w:val="36"/>
          <w:szCs w:val="36"/>
          <w:highlight w:val="none"/>
          <w:lang w:val="zh-CN"/>
        </w:rPr>
        <w:t>采购人：洪湖市人民医院</w:t>
      </w:r>
    </w:p>
    <w:p w14:paraId="1D724C9A">
      <w:pPr>
        <w:ind w:firstLine="3975" w:firstLineChars="1100"/>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二〇二</w:t>
      </w:r>
      <w:r>
        <w:rPr>
          <w:rFonts w:hint="eastAsia" w:ascii="宋体" w:hAnsi="宋体" w:eastAsia="宋体" w:cs="宋体"/>
          <w:b/>
          <w:color w:val="auto"/>
          <w:sz w:val="36"/>
          <w:szCs w:val="36"/>
          <w:highlight w:val="none"/>
          <w:lang w:val="en-US" w:eastAsia="zh-CN"/>
        </w:rPr>
        <w:t>六</w:t>
      </w:r>
      <w:r>
        <w:rPr>
          <w:rFonts w:hint="eastAsia" w:ascii="宋体" w:hAnsi="宋体" w:eastAsia="宋体" w:cs="宋体"/>
          <w:b/>
          <w:color w:val="auto"/>
          <w:sz w:val="36"/>
          <w:szCs w:val="36"/>
          <w:highlight w:val="none"/>
        </w:rPr>
        <w:t>年</w:t>
      </w:r>
      <w:r>
        <w:rPr>
          <w:rFonts w:hint="eastAsia" w:ascii="宋体" w:hAnsi="宋体" w:cs="宋体"/>
          <w:b/>
          <w:color w:val="auto"/>
          <w:sz w:val="36"/>
          <w:szCs w:val="36"/>
          <w:highlight w:val="none"/>
          <w:lang w:eastAsia="zh-CN"/>
        </w:rPr>
        <w:t>九</w:t>
      </w:r>
      <w:r>
        <w:rPr>
          <w:rFonts w:hint="eastAsia" w:ascii="宋体" w:hAnsi="宋体" w:eastAsia="宋体" w:cs="宋体"/>
          <w:b/>
          <w:color w:val="auto"/>
          <w:sz w:val="36"/>
          <w:szCs w:val="36"/>
          <w:highlight w:val="none"/>
        </w:rPr>
        <w:t>月</w:t>
      </w:r>
    </w:p>
    <w:p w14:paraId="213F4FF5">
      <w:pPr>
        <w:pStyle w:val="21"/>
        <w:rPr>
          <w:rFonts w:hint="eastAsia" w:ascii="宋体" w:hAnsi="宋体" w:eastAsia="宋体" w:cs="宋体"/>
          <w:highlight w:val="none"/>
        </w:rPr>
      </w:pPr>
    </w:p>
    <w:p w14:paraId="2A4B9CCE">
      <w:pPr>
        <w:spacing w:line="579" w:lineRule="auto"/>
        <w:jc w:val="center"/>
        <w:rPr>
          <w:rFonts w:hint="eastAsia" w:ascii="宋体" w:hAnsi="宋体" w:eastAsia="宋体" w:cs="宋体"/>
          <w:b/>
          <w:sz w:val="36"/>
          <w:szCs w:val="36"/>
          <w:highlight w:val="none"/>
        </w:rPr>
      </w:pPr>
      <w:r>
        <w:rPr>
          <w:rFonts w:hint="eastAsia" w:ascii="宋体" w:hAnsi="宋体" w:eastAsia="宋体" w:cs="宋体"/>
          <w:b/>
          <w:sz w:val="36"/>
          <w:szCs w:val="36"/>
          <w:highlight w:val="none"/>
        </w:rPr>
        <w:t>目录</w:t>
      </w:r>
    </w:p>
    <w:p w14:paraId="38735E65">
      <w:pPr>
        <w:pStyle w:val="17"/>
        <w:tabs>
          <w:tab w:val="right" w:leader="dot" w:pos="9240"/>
          <w:tab w:val="clear" w:pos="8296"/>
        </w:tabs>
      </w:pPr>
      <w:bookmarkStart w:id="0" w:name="_Toc524200248"/>
      <w:bookmarkStart w:id="1" w:name="_Toc524078628"/>
      <w:r>
        <w:rPr>
          <w:rFonts w:hint="eastAsia" w:ascii="宋体" w:hAnsi="宋体" w:eastAsia="宋体" w:cs="宋体"/>
          <w:b w:val="0"/>
          <w:sz w:val="21"/>
          <w:szCs w:val="21"/>
          <w:highlight w:val="none"/>
        </w:rPr>
        <w:fldChar w:fldCharType="begin"/>
      </w:r>
      <w:r>
        <w:rPr>
          <w:rFonts w:hint="eastAsia" w:ascii="宋体" w:hAnsi="宋体" w:eastAsia="宋体" w:cs="宋体"/>
          <w:b w:val="0"/>
          <w:sz w:val="21"/>
          <w:szCs w:val="21"/>
          <w:highlight w:val="none"/>
        </w:rPr>
        <w:instrText xml:space="preserve"> TOC \o "1-1" \h \z \u </w:instrText>
      </w:r>
      <w:r>
        <w:rPr>
          <w:rFonts w:hint="eastAsia" w:ascii="宋体" w:hAnsi="宋体" w:eastAsia="宋体" w:cs="宋体"/>
          <w:b w:val="0"/>
          <w:sz w:val="21"/>
          <w:szCs w:val="21"/>
          <w:highlight w:val="none"/>
        </w:rPr>
        <w:fldChar w:fldCharType="separate"/>
      </w: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_Toc9532 </w:instrText>
      </w:r>
      <w:r>
        <w:rPr>
          <w:rFonts w:hint="eastAsia" w:ascii="宋体" w:hAnsi="宋体" w:eastAsia="宋体" w:cs="宋体"/>
          <w:szCs w:val="21"/>
          <w:highlight w:val="none"/>
        </w:rPr>
        <w:fldChar w:fldCharType="separate"/>
      </w:r>
      <w:r>
        <w:rPr>
          <w:rFonts w:hint="eastAsia" w:ascii="宋体" w:hAnsi="宋体" w:eastAsia="宋体" w:cs="宋体"/>
          <w:szCs w:val="36"/>
          <w:highlight w:val="none"/>
        </w:rPr>
        <w:t>第一章 竞争性磋商公告</w:t>
      </w:r>
      <w:r>
        <w:tab/>
      </w:r>
      <w:r>
        <w:fldChar w:fldCharType="begin"/>
      </w:r>
      <w:r>
        <w:instrText xml:space="preserve"> PAGEREF _Toc9532 \h </w:instrText>
      </w:r>
      <w:r>
        <w:fldChar w:fldCharType="separate"/>
      </w:r>
      <w:r>
        <w:t>1</w:t>
      </w:r>
      <w:r>
        <w:fldChar w:fldCharType="end"/>
      </w:r>
      <w:r>
        <w:rPr>
          <w:rFonts w:hint="eastAsia" w:ascii="宋体" w:hAnsi="宋体" w:eastAsia="宋体" w:cs="宋体"/>
          <w:szCs w:val="21"/>
          <w:highlight w:val="none"/>
        </w:rPr>
        <w:fldChar w:fldCharType="end"/>
      </w:r>
    </w:p>
    <w:p w14:paraId="5807BBAE">
      <w:pPr>
        <w:pStyle w:val="17"/>
        <w:tabs>
          <w:tab w:val="right" w:leader="dot" w:pos="9240"/>
          <w:tab w:val="clear" w:pos="8296"/>
        </w:tabs>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_Toc16098 </w:instrText>
      </w:r>
      <w:r>
        <w:rPr>
          <w:rFonts w:hint="eastAsia" w:ascii="宋体" w:hAnsi="宋体" w:eastAsia="宋体" w:cs="宋体"/>
          <w:szCs w:val="21"/>
          <w:highlight w:val="none"/>
        </w:rPr>
        <w:fldChar w:fldCharType="separate"/>
      </w:r>
      <w:r>
        <w:rPr>
          <w:rFonts w:hint="eastAsia" w:ascii="宋体" w:hAnsi="宋体" w:eastAsia="宋体" w:cs="宋体"/>
          <w:szCs w:val="36"/>
          <w:highlight w:val="none"/>
        </w:rPr>
        <w:t>第二章 磋商须知</w:t>
      </w:r>
      <w:r>
        <w:tab/>
      </w:r>
      <w:r>
        <w:fldChar w:fldCharType="begin"/>
      </w:r>
      <w:r>
        <w:instrText xml:space="preserve"> PAGEREF _Toc16098 \h </w:instrText>
      </w:r>
      <w:r>
        <w:fldChar w:fldCharType="separate"/>
      </w:r>
      <w:r>
        <w:t>3</w:t>
      </w:r>
      <w:r>
        <w:fldChar w:fldCharType="end"/>
      </w:r>
      <w:r>
        <w:rPr>
          <w:rFonts w:hint="eastAsia" w:ascii="宋体" w:hAnsi="宋体" w:eastAsia="宋体" w:cs="宋体"/>
          <w:szCs w:val="21"/>
          <w:highlight w:val="none"/>
        </w:rPr>
        <w:fldChar w:fldCharType="end"/>
      </w:r>
    </w:p>
    <w:p w14:paraId="351AE0C7">
      <w:pPr>
        <w:pStyle w:val="17"/>
        <w:tabs>
          <w:tab w:val="right" w:leader="dot" w:pos="9240"/>
          <w:tab w:val="clear" w:pos="8296"/>
        </w:tabs>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_Toc17842 </w:instrText>
      </w:r>
      <w:r>
        <w:rPr>
          <w:rFonts w:hint="eastAsia" w:ascii="宋体" w:hAnsi="宋体" w:eastAsia="宋体" w:cs="宋体"/>
          <w:szCs w:val="21"/>
          <w:highlight w:val="none"/>
        </w:rPr>
        <w:fldChar w:fldCharType="separate"/>
      </w:r>
      <w:r>
        <w:rPr>
          <w:rFonts w:hint="eastAsia" w:ascii="宋体" w:hAnsi="宋体" w:eastAsia="宋体" w:cs="宋体"/>
          <w:szCs w:val="36"/>
          <w:highlight w:val="none"/>
        </w:rPr>
        <w:t>第三章采购内容及要求</w:t>
      </w:r>
      <w:r>
        <w:tab/>
      </w:r>
      <w:r>
        <w:fldChar w:fldCharType="begin"/>
      </w:r>
      <w:r>
        <w:instrText xml:space="preserve"> PAGEREF _Toc17842 \h </w:instrText>
      </w:r>
      <w:r>
        <w:fldChar w:fldCharType="separate"/>
      </w:r>
      <w:r>
        <w:t>10</w:t>
      </w:r>
      <w:r>
        <w:fldChar w:fldCharType="end"/>
      </w:r>
      <w:r>
        <w:rPr>
          <w:rFonts w:hint="eastAsia" w:ascii="宋体" w:hAnsi="宋体" w:eastAsia="宋体" w:cs="宋体"/>
          <w:szCs w:val="21"/>
          <w:highlight w:val="none"/>
        </w:rPr>
        <w:fldChar w:fldCharType="end"/>
      </w:r>
    </w:p>
    <w:p w14:paraId="5C0FE024">
      <w:pPr>
        <w:pStyle w:val="17"/>
        <w:tabs>
          <w:tab w:val="right" w:leader="dot" w:pos="9240"/>
          <w:tab w:val="clear" w:pos="8296"/>
        </w:tabs>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_Toc9194 </w:instrText>
      </w:r>
      <w:r>
        <w:rPr>
          <w:rFonts w:hint="eastAsia" w:ascii="宋体" w:hAnsi="宋体" w:eastAsia="宋体" w:cs="宋体"/>
          <w:szCs w:val="21"/>
          <w:highlight w:val="none"/>
        </w:rPr>
        <w:fldChar w:fldCharType="separate"/>
      </w:r>
      <w:r>
        <w:rPr>
          <w:rFonts w:hint="eastAsia" w:ascii="宋体" w:hAnsi="宋体" w:eastAsia="宋体" w:cs="宋体"/>
          <w:szCs w:val="36"/>
          <w:highlight w:val="none"/>
        </w:rPr>
        <w:t>第四章 评审方法及评分标准</w:t>
      </w:r>
      <w:r>
        <w:tab/>
      </w:r>
      <w:r>
        <w:fldChar w:fldCharType="begin"/>
      </w:r>
      <w:r>
        <w:instrText xml:space="preserve"> PAGEREF _Toc9194 \h </w:instrText>
      </w:r>
      <w:r>
        <w:fldChar w:fldCharType="separate"/>
      </w:r>
      <w:r>
        <w:t>13</w:t>
      </w:r>
      <w:r>
        <w:fldChar w:fldCharType="end"/>
      </w:r>
      <w:r>
        <w:rPr>
          <w:rFonts w:hint="eastAsia" w:ascii="宋体" w:hAnsi="宋体" w:eastAsia="宋体" w:cs="宋体"/>
          <w:szCs w:val="21"/>
          <w:highlight w:val="none"/>
        </w:rPr>
        <w:fldChar w:fldCharType="end"/>
      </w:r>
    </w:p>
    <w:p w14:paraId="778C9550">
      <w:pPr>
        <w:pStyle w:val="17"/>
        <w:tabs>
          <w:tab w:val="right" w:leader="dot" w:pos="9240"/>
          <w:tab w:val="clear" w:pos="8296"/>
        </w:tabs>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_Toc10107 </w:instrText>
      </w:r>
      <w:r>
        <w:rPr>
          <w:rFonts w:hint="eastAsia" w:ascii="宋体" w:hAnsi="宋体" w:eastAsia="宋体" w:cs="宋体"/>
          <w:szCs w:val="21"/>
          <w:highlight w:val="none"/>
        </w:rPr>
        <w:fldChar w:fldCharType="separate"/>
      </w:r>
      <w:r>
        <w:rPr>
          <w:rFonts w:hint="eastAsia" w:ascii="宋体" w:hAnsi="宋体" w:eastAsia="宋体" w:cs="宋体"/>
          <w:szCs w:val="36"/>
          <w:highlight w:val="none"/>
        </w:rPr>
        <w:t>第五章 合同参考格式</w:t>
      </w:r>
      <w:r>
        <w:tab/>
      </w:r>
      <w:r>
        <w:fldChar w:fldCharType="begin"/>
      </w:r>
      <w:r>
        <w:instrText xml:space="preserve"> PAGEREF _Toc10107 \h </w:instrText>
      </w:r>
      <w:r>
        <w:fldChar w:fldCharType="separate"/>
      </w:r>
      <w:r>
        <w:t>18</w:t>
      </w:r>
      <w:r>
        <w:fldChar w:fldCharType="end"/>
      </w:r>
      <w:r>
        <w:rPr>
          <w:rFonts w:hint="eastAsia" w:ascii="宋体" w:hAnsi="宋体" w:eastAsia="宋体" w:cs="宋体"/>
          <w:szCs w:val="21"/>
          <w:highlight w:val="none"/>
        </w:rPr>
        <w:fldChar w:fldCharType="end"/>
      </w:r>
    </w:p>
    <w:p w14:paraId="05C3FA4F">
      <w:pPr>
        <w:pStyle w:val="17"/>
        <w:tabs>
          <w:tab w:val="right" w:leader="dot" w:pos="9240"/>
          <w:tab w:val="clear" w:pos="8296"/>
        </w:tabs>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_Toc8076 </w:instrText>
      </w:r>
      <w:r>
        <w:rPr>
          <w:rFonts w:hint="eastAsia" w:ascii="宋体" w:hAnsi="宋体" w:eastAsia="宋体" w:cs="宋体"/>
          <w:szCs w:val="21"/>
          <w:highlight w:val="none"/>
        </w:rPr>
        <w:fldChar w:fldCharType="separate"/>
      </w:r>
      <w:r>
        <w:rPr>
          <w:rFonts w:hint="eastAsia" w:ascii="宋体" w:hAnsi="宋体" w:eastAsia="宋体" w:cs="宋体"/>
          <w:szCs w:val="36"/>
          <w:highlight w:val="none"/>
          <w:lang w:val="en-US" w:eastAsia="zh-CN"/>
        </w:rPr>
        <w:t xml:space="preserve">第六章 </w:t>
      </w:r>
      <w:r>
        <w:rPr>
          <w:rFonts w:hint="eastAsia" w:ascii="宋体" w:hAnsi="宋体" w:eastAsia="宋体" w:cs="宋体"/>
          <w:szCs w:val="36"/>
          <w:highlight w:val="none"/>
        </w:rPr>
        <w:t>磋商响应文件格式</w:t>
      </w:r>
      <w:r>
        <w:tab/>
      </w:r>
      <w:r>
        <w:fldChar w:fldCharType="begin"/>
      </w:r>
      <w:r>
        <w:instrText xml:space="preserve"> PAGEREF _Toc8076 \h </w:instrText>
      </w:r>
      <w:r>
        <w:fldChar w:fldCharType="separate"/>
      </w:r>
      <w:r>
        <w:t>22</w:t>
      </w:r>
      <w:r>
        <w:fldChar w:fldCharType="end"/>
      </w:r>
      <w:r>
        <w:rPr>
          <w:rFonts w:hint="eastAsia" w:ascii="宋体" w:hAnsi="宋体" w:eastAsia="宋体" w:cs="宋体"/>
          <w:szCs w:val="21"/>
          <w:highlight w:val="none"/>
        </w:rPr>
        <w:fldChar w:fldCharType="end"/>
      </w:r>
    </w:p>
    <w:p w14:paraId="3056D59E">
      <w:pPr>
        <w:pStyle w:val="17"/>
        <w:rPr>
          <w:rFonts w:hint="eastAsia" w:ascii="宋体" w:hAnsi="宋体" w:eastAsia="宋体" w:cs="宋体"/>
          <w:highlight w:val="none"/>
        </w:rPr>
        <w:sectPr>
          <w:headerReference r:id="rId3" w:type="default"/>
          <w:pgSz w:w="11906" w:h="16838"/>
          <w:pgMar w:top="1440" w:right="1248" w:bottom="1440" w:left="1418" w:header="851" w:footer="992" w:gutter="0"/>
          <w:pgNumType w:start="1"/>
          <w:cols w:space="425" w:num="1"/>
          <w:docGrid w:type="lines" w:linePitch="312" w:charSpace="0"/>
        </w:sectPr>
      </w:pPr>
      <w:r>
        <w:rPr>
          <w:rFonts w:hint="eastAsia" w:ascii="宋体" w:hAnsi="宋体" w:eastAsia="宋体" w:cs="宋体"/>
          <w:szCs w:val="21"/>
          <w:highlight w:val="none"/>
        </w:rPr>
        <w:fldChar w:fldCharType="end"/>
      </w:r>
    </w:p>
    <w:p w14:paraId="57023D51">
      <w:pPr>
        <w:pStyle w:val="2"/>
        <w:spacing w:before="0" w:after="0" w:line="360" w:lineRule="auto"/>
        <w:jc w:val="center"/>
        <w:rPr>
          <w:rFonts w:hint="eastAsia" w:ascii="宋体" w:hAnsi="宋体" w:eastAsia="宋体" w:cs="宋体"/>
          <w:sz w:val="36"/>
          <w:szCs w:val="36"/>
          <w:highlight w:val="none"/>
        </w:rPr>
      </w:pPr>
      <w:bookmarkStart w:id="2" w:name="_Toc9532"/>
      <w:r>
        <w:rPr>
          <w:rFonts w:hint="eastAsia" w:ascii="宋体" w:hAnsi="宋体" w:eastAsia="宋体" w:cs="宋体"/>
          <w:sz w:val="36"/>
          <w:szCs w:val="36"/>
          <w:highlight w:val="none"/>
        </w:rPr>
        <w:t>第一章 竞争性磋商公告</w:t>
      </w:r>
      <w:bookmarkEnd w:id="0"/>
      <w:bookmarkEnd w:id="1"/>
      <w:bookmarkEnd w:id="2"/>
    </w:p>
    <w:p w14:paraId="52253447">
      <w:pPr>
        <w:widowControl/>
        <w:shd w:val="clear" w:color="auto" w:fill="FFFFFF"/>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lang w:eastAsia="zh-CN"/>
        </w:rPr>
        <w:t>洪湖市人民医院</w:t>
      </w:r>
      <w:r>
        <w:rPr>
          <w:rFonts w:hint="eastAsia" w:ascii="宋体" w:hAnsi="宋体" w:eastAsia="宋体" w:cs="宋体"/>
          <w:sz w:val="24"/>
          <w:highlight w:val="none"/>
        </w:rPr>
        <w:t>根据工作需要，现就选定招标代理机构入围采用院内竞争性磋商。欢迎符合条件的单位报名参加。</w:t>
      </w:r>
    </w:p>
    <w:p w14:paraId="1A5A1164">
      <w:pPr>
        <w:widowControl/>
        <w:shd w:val="clear" w:color="auto" w:fill="FFFFFF"/>
        <w:spacing w:line="360" w:lineRule="auto"/>
        <w:ind w:firstLine="482" w:firstLineChars="200"/>
        <w:rPr>
          <w:rFonts w:hint="eastAsia" w:ascii="宋体" w:hAnsi="宋体" w:eastAsia="宋体" w:cs="宋体"/>
          <w:b/>
          <w:bCs/>
          <w:color w:val="000000"/>
          <w:kern w:val="0"/>
          <w:sz w:val="24"/>
          <w:highlight w:val="none"/>
        </w:rPr>
      </w:pPr>
      <w:r>
        <w:rPr>
          <w:rFonts w:hint="eastAsia" w:ascii="宋体" w:hAnsi="宋体" w:eastAsia="宋体" w:cs="宋体"/>
          <w:b/>
          <w:bCs/>
          <w:color w:val="000000"/>
          <w:kern w:val="0"/>
          <w:sz w:val="24"/>
          <w:highlight w:val="none"/>
        </w:rPr>
        <w:t>一、项目基本情况</w:t>
      </w:r>
    </w:p>
    <w:p w14:paraId="338F1F95">
      <w:pPr>
        <w:tabs>
          <w:tab w:val="left" w:pos="2604"/>
        </w:tabs>
        <w:spacing w:line="360" w:lineRule="auto"/>
        <w:ind w:firstLine="480" w:firstLineChars="200"/>
        <w:rPr>
          <w:rFonts w:hint="default" w:ascii="宋体" w:hAnsi="宋体" w:eastAsia="宋体" w:cs="宋体"/>
          <w:color w:val="auto"/>
          <w:sz w:val="24"/>
          <w:highlight w:val="none"/>
          <w:lang w:val="en-US" w:eastAsia="zh-CN"/>
        </w:rPr>
      </w:pPr>
      <w:r>
        <w:rPr>
          <w:rFonts w:hint="eastAsia" w:ascii="宋体" w:hAnsi="宋体" w:eastAsia="宋体" w:cs="宋体"/>
          <w:color w:val="auto"/>
          <w:kern w:val="0"/>
          <w:sz w:val="24"/>
          <w:highlight w:val="none"/>
        </w:rPr>
        <w:t>1、项目编号：</w:t>
      </w:r>
      <w:r>
        <w:rPr>
          <w:rFonts w:hint="eastAsia" w:ascii="宋体" w:hAnsi="宋体" w:cs="宋体"/>
          <w:color w:val="auto"/>
          <w:kern w:val="0"/>
          <w:sz w:val="24"/>
          <w:highlight w:val="none"/>
          <w:lang w:val="en-US" w:eastAsia="zh-CN"/>
        </w:rPr>
        <w:t>HHRMYYCWK-20260902</w:t>
      </w:r>
    </w:p>
    <w:p w14:paraId="166A207A">
      <w:pPr>
        <w:widowControl/>
        <w:shd w:val="clear" w:color="auto" w:fill="FFFFFF"/>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2</w:t>
      </w:r>
      <w:r>
        <w:rPr>
          <w:rFonts w:hint="eastAsia" w:ascii="宋体" w:hAnsi="宋体" w:eastAsia="宋体" w:cs="宋体"/>
          <w:color w:val="auto"/>
          <w:sz w:val="24"/>
          <w:highlight w:val="none"/>
        </w:rPr>
        <w:t>、项目名称：</w:t>
      </w:r>
      <w:r>
        <w:rPr>
          <w:rFonts w:hint="eastAsia" w:ascii="宋体" w:hAnsi="宋体" w:eastAsia="宋体" w:cs="宋体"/>
          <w:color w:val="auto"/>
          <w:sz w:val="24"/>
          <w:highlight w:val="none"/>
          <w:lang w:eastAsia="zh-CN"/>
        </w:rPr>
        <w:t>洪湖市人民医院</w:t>
      </w:r>
      <w:r>
        <w:rPr>
          <w:rFonts w:hint="eastAsia" w:ascii="宋体" w:hAnsi="宋体" w:eastAsia="宋体" w:cs="宋体"/>
          <w:color w:val="auto"/>
          <w:sz w:val="24"/>
          <w:highlight w:val="none"/>
        </w:rPr>
        <w:t>招标代理机构遴选项目</w:t>
      </w:r>
    </w:p>
    <w:p w14:paraId="26512F6B">
      <w:pPr>
        <w:widowControl/>
        <w:shd w:val="clear" w:color="auto" w:fill="FFFFFF"/>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3、采购方式：竞争性磋商</w:t>
      </w:r>
    </w:p>
    <w:p w14:paraId="4F83193B">
      <w:pPr>
        <w:widowControl/>
        <w:shd w:val="clear" w:color="auto" w:fill="FFFFFF"/>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4、采购需求：本项目共</w:t>
      </w:r>
      <w:r>
        <w:rPr>
          <w:rFonts w:hint="eastAsia" w:ascii="宋体" w:hAnsi="宋体" w:eastAsia="宋体" w:cs="宋体"/>
          <w:sz w:val="24"/>
          <w:highlight w:val="none"/>
          <w:lang w:val="en-US" w:eastAsia="zh-CN"/>
        </w:rPr>
        <w:t>2</w:t>
      </w:r>
      <w:r>
        <w:rPr>
          <w:rFonts w:hint="eastAsia" w:ascii="宋体" w:hAnsi="宋体" w:eastAsia="宋体" w:cs="宋体"/>
          <w:sz w:val="24"/>
          <w:highlight w:val="none"/>
        </w:rPr>
        <w:t>个</w:t>
      </w:r>
      <w:r>
        <w:rPr>
          <w:rFonts w:hint="eastAsia" w:ascii="宋体" w:hAnsi="宋体" w:eastAsia="宋体" w:cs="宋体"/>
          <w:sz w:val="24"/>
          <w:highlight w:val="none"/>
          <w:lang w:val="en-US" w:eastAsia="zh-CN"/>
        </w:rPr>
        <w:t>项目</w:t>
      </w:r>
      <w:r>
        <w:rPr>
          <w:rFonts w:hint="eastAsia" w:ascii="宋体" w:hAnsi="宋体" w:eastAsia="宋体" w:cs="宋体"/>
          <w:sz w:val="24"/>
          <w:highlight w:val="none"/>
        </w:rPr>
        <w:t>包，</w:t>
      </w:r>
      <w:r>
        <w:rPr>
          <w:rFonts w:hint="eastAsia" w:ascii="宋体" w:hAnsi="宋体" w:eastAsia="宋体" w:cs="宋体"/>
          <w:sz w:val="24"/>
          <w:highlight w:val="none"/>
          <w:lang w:val="en-US" w:eastAsia="zh-CN"/>
        </w:rPr>
        <w:t>洪湖市和武汉市分别</w:t>
      </w:r>
      <w:r>
        <w:rPr>
          <w:rFonts w:hint="eastAsia" w:ascii="宋体" w:hAnsi="宋体" w:eastAsia="宋体" w:cs="宋体"/>
          <w:sz w:val="24"/>
          <w:highlight w:val="none"/>
        </w:rPr>
        <w:t>遴</w:t>
      </w:r>
      <w:r>
        <w:rPr>
          <w:rFonts w:hint="eastAsia" w:ascii="宋体" w:hAnsi="宋体" w:eastAsia="宋体" w:cs="宋体"/>
          <w:sz w:val="24"/>
          <w:highlight w:val="none"/>
          <w:lang w:val="en-US" w:eastAsia="zh-CN"/>
        </w:rPr>
        <w:t>选1家在医疗行</w:t>
      </w:r>
      <w:r>
        <w:rPr>
          <w:rFonts w:hint="eastAsia" w:ascii="宋体" w:hAnsi="宋体" w:eastAsia="宋体" w:cs="宋体"/>
          <w:sz w:val="24"/>
          <w:highlight w:val="none"/>
        </w:rPr>
        <w:t>业实力强、业绩佳、服务好的招标采购代理公司，承担我院的招标采购代理工作（项目服务期内如遇政策调整，按规定办理），具体服务要求详见采购文件。</w:t>
      </w:r>
    </w:p>
    <w:p w14:paraId="53D472AB">
      <w:pPr>
        <w:widowControl/>
        <w:shd w:val="clear" w:color="auto" w:fill="FFFFFF"/>
        <w:spacing w:line="360" w:lineRule="auto"/>
        <w:ind w:firstLine="480" w:firstLineChars="200"/>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本采购文件为武汉市代理机构遴选文件。</w:t>
      </w:r>
    </w:p>
    <w:p w14:paraId="7BBADEBA">
      <w:pPr>
        <w:widowControl/>
        <w:shd w:val="clear" w:color="auto" w:fill="FFFFFF"/>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5、服务期限：</w:t>
      </w:r>
      <w:r>
        <w:rPr>
          <w:rFonts w:hint="eastAsia" w:ascii="宋体" w:hAnsi="宋体" w:cs="宋体"/>
          <w:color w:val="auto"/>
          <w:sz w:val="24"/>
          <w:highlight w:val="none"/>
          <w:lang w:eastAsia="zh-CN"/>
        </w:rPr>
        <w:t>两</w:t>
      </w:r>
      <w:r>
        <w:rPr>
          <w:rFonts w:hint="eastAsia" w:ascii="宋体" w:hAnsi="宋体" w:eastAsia="宋体" w:cs="宋体"/>
          <w:color w:val="auto"/>
          <w:sz w:val="24"/>
          <w:highlight w:val="none"/>
        </w:rPr>
        <w:t>年</w:t>
      </w:r>
      <w:r>
        <w:rPr>
          <w:rFonts w:hint="eastAsia" w:ascii="宋体" w:hAnsi="宋体" w:cs="宋体"/>
          <w:color w:val="auto"/>
          <w:sz w:val="24"/>
          <w:highlight w:val="none"/>
          <w:lang w:eastAsia="zh-CN"/>
        </w:rPr>
        <w:t>（协议一年一签）</w:t>
      </w:r>
    </w:p>
    <w:p w14:paraId="3918CC70">
      <w:pPr>
        <w:widowControl/>
        <w:shd w:val="clear" w:color="auto" w:fill="FFFFFF"/>
        <w:spacing w:line="360" w:lineRule="auto"/>
        <w:ind w:firstLine="482" w:firstLineChars="200"/>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二、供应商资格要求</w:t>
      </w:r>
    </w:p>
    <w:p w14:paraId="3E690B8D">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1、符合《中华人民共和国政府采购法》第二十二条对供应商的要求；</w:t>
      </w:r>
    </w:p>
    <w:p w14:paraId="69379121">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（1）具有独立承担民事责任的能力；</w:t>
      </w:r>
    </w:p>
    <w:p w14:paraId="486AB2B9">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（2）具有良好的商业信誉和健全的财务会计制度；</w:t>
      </w:r>
    </w:p>
    <w:p w14:paraId="2D26A30D">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（3）具有履行合同所必需的设备和专业技术能力；</w:t>
      </w:r>
    </w:p>
    <w:p w14:paraId="2E18E4C5">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（4）有依法缴纳税收和社会保障资金的良好记录；</w:t>
      </w:r>
    </w:p>
    <w:p w14:paraId="38254652">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（5）参加政府采购活动前三年内，在经营活动中没有重大违法记录；</w:t>
      </w:r>
    </w:p>
    <w:p w14:paraId="35C2A7BC">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（6）法律、行政法规规定的其他条件。</w:t>
      </w:r>
    </w:p>
    <w:p w14:paraId="305C46FB">
      <w:pPr>
        <w:spacing w:line="360" w:lineRule="auto"/>
        <w:ind w:firstLine="420" w:firstLineChars="175"/>
        <w:rPr>
          <w:rFonts w:hint="eastAsia" w:ascii="宋体" w:hAnsi="宋体" w:eastAsia="宋体" w:cs="宋体"/>
          <w:sz w:val="24"/>
          <w:highlight w:val="none"/>
        </w:rPr>
      </w:pPr>
      <w:r>
        <w:rPr>
          <w:rFonts w:hint="eastAsia" w:ascii="宋体" w:hAnsi="宋体" w:eastAsia="宋体" w:cs="宋体"/>
          <w:sz w:val="24"/>
          <w:highlight w:val="none"/>
        </w:rPr>
        <w:t>2、供应商具备政府采购社会代理资质（招标代理机构在政府采购网上的备案证明文件或网页截图）；</w:t>
      </w:r>
    </w:p>
    <w:p w14:paraId="491D9DF1">
      <w:pPr>
        <w:spacing w:line="360" w:lineRule="auto"/>
        <w:ind w:firstLine="420" w:firstLineChars="175"/>
        <w:rPr>
          <w:rFonts w:hint="eastAsia" w:ascii="宋体" w:hAnsi="宋体" w:eastAsia="宋体" w:cs="宋体"/>
          <w:sz w:val="24"/>
          <w:highlight w:val="none"/>
        </w:rPr>
      </w:pPr>
      <w:r>
        <w:rPr>
          <w:rFonts w:hint="eastAsia" w:ascii="宋体" w:hAnsi="宋体" w:eastAsia="宋体" w:cs="宋体"/>
          <w:sz w:val="24"/>
          <w:highlight w:val="none"/>
        </w:rPr>
        <w:t>3、未被“信用中国”（www.creditchina.gov.cn）、中国政府采购网（www.ccgp.gov.cn）列入失信被执行人、重大税收违法案件当事人名单、政府采购严重违法失信行为记录名单；</w:t>
      </w:r>
    </w:p>
    <w:p w14:paraId="5F6F8756">
      <w:pPr>
        <w:spacing w:line="360" w:lineRule="auto"/>
        <w:ind w:firstLine="420" w:firstLineChars="175"/>
        <w:rPr>
          <w:rFonts w:hint="eastAsia" w:ascii="宋体" w:hAnsi="宋体" w:eastAsia="宋体" w:cs="宋体"/>
          <w:sz w:val="24"/>
          <w:highlight w:val="none"/>
        </w:rPr>
      </w:pPr>
      <w:r>
        <w:rPr>
          <w:rFonts w:hint="eastAsia" w:ascii="宋体" w:hAnsi="宋体" w:eastAsia="宋体" w:cs="宋体"/>
          <w:sz w:val="24"/>
          <w:highlight w:val="none"/>
        </w:rPr>
        <w:t>4、本项目不接受联合体参与。</w:t>
      </w:r>
    </w:p>
    <w:p w14:paraId="4A2DB86F">
      <w:pPr>
        <w:pStyle w:val="20"/>
        <w:widowControl/>
        <w:shd w:val="clear" w:color="auto" w:fill="FFFFFF"/>
        <w:adjustRightInd w:val="0"/>
        <w:snapToGrid w:val="0"/>
        <w:spacing w:before="0" w:beforeAutospacing="0" w:after="0" w:afterAutospacing="0" w:line="360" w:lineRule="auto"/>
        <w:ind w:firstLine="482" w:firstLineChars="200"/>
        <w:rPr>
          <w:rFonts w:hint="eastAsia" w:ascii="宋体" w:hAnsi="宋体" w:eastAsia="宋体" w:cs="宋体"/>
          <w:b/>
          <w:bCs/>
          <w:color w:val="auto"/>
          <w:highlight w:val="none"/>
        </w:rPr>
      </w:pPr>
      <w:r>
        <w:rPr>
          <w:rFonts w:hint="eastAsia" w:ascii="宋体" w:hAnsi="宋体" w:eastAsia="宋体" w:cs="宋体"/>
          <w:b/>
          <w:bCs/>
          <w:color w:val="auto"/>
          <w:highlight w:val="none"/>
        </w:rPr>
        <w:t>三、获取采购文件</w:t>
      </w:r>
    </w:p>
    <w:p w14:paraId="0667577C">
      <w:pPr>
        <w:pStyle w:val="20"/>
        <w:adjustRightInd w:val="0"/>
        <w:snapToGrid w:val="0"/>
        <w:spacing w:before="0" w:beforeAutospacing="0" w:after="0" w:afterAutospacing="0" w:line="360" w:lineRule="auto"/>
        <w:ind w:firstLine="482"/>
        <w:rPr>
          <w:rFonts w:hint="eastAsia" w:ascii="宋体" w:hAnsi="宋体" w:eastAsia="宋体" w:cs="宋体"/>
          <w:color w:val="auto"/>
          <w:highlight w:val="none"/>
        </w:rPr>
      </w:pPr>
      <w:r>
        <w:rPr>
          <w:rFonts w:hint="eastAsia" w:ascii="宋体" w:hAnsi="宋体" w:eastAsia="宋体" w:cs="宋体"/>
          <w:color w:val="auto"/>
          <w:highlight w:val="none"/>
        </w:rPr>
        <w:t>1、时间：</w:t>
      </w:r>
      <w:r>
        <w:rPr>
          <w:rFonts w:hint="eastAsia" w:ascii="宋体" w:hAnsi="宋体" w:eastAsia="宋体" w:cs="宋体"/>
          <w:color w:val="FF0000"/>
          <w:highlight w:val="none"/>
        </w:rPr>
        <w:t>202</w:t>
      </w:r>
      <w:r>
        <w:rPr>
          <w:rFonts w:hint="eastAsia" w:ascii="宋体" w:hAnsi="宋体" w:eastAsia="宋体" w:cs="宋体"/>
          <w:color w:val="FF0000"/>
          <w:highlight w:val="none"/>
          <w:lang w:val="en-US" w:eastAsia="zh-CN"/>
        </w:rPr>
        <w:t>6</w:t>
      </w:r>
      <w:r>
        <w:rPr>
          <w:rFonts w:hint="eastAsia" w:ascii="宋体" w:hAnsi="宋体" w:eastAsia="宋体" w:cs="宋体"/>
          <w:color w:val="FF0000"/>
          <w:highlight w:val="none"/>
        </w:rPr>
        <w:t>年</w:t>
      </w:r>
      <w:r>
        <w:rPr>
          <w:rFonts w:hint="eastAsia" w:ascii="宋体" w:hAnsi="宋体" w:eastAsia="宋体" w:cs="宋体"/>
          <w:color w:val="FF0000"/>
          <w:highlight w:val="none"/>
          <w:lang w:val="en-US" w:eastAsia="zh-CN"/>
        </w:rPr>
        <w:t xml:space="preserve">  </w:t>
      </w:r>
      <w:r>
        <w:rPr>
          <w:rFonts w:hint="eastAsia" w:ascii="宋体" w:hAnsi="宋体" w:eastAsia="宋体" w:cs="宋体"/>
          <w:color w:val="FF0000"/>
          <w:highlight w:val="none"/>
        </w:rPr>
        <w:t>月</w:t>
      </w:r>
      <w:r>
        <w:rPr>
          <w:rFonts w:hint="eastAsia" w:ascii="宋体" w:hAnsi="宋体" w:eastAsia="宋体" w:cs="宋体"/>
          <w:color w:val="FF0000"/>
          <w:highlight w:val="none"/>
          <w:lang w:val="en-US" w:eastAsia="zh-CN"/>
        </w:rPr>
        <w:t xml:space="preserve">  </w:t>
      </w:r>
      <w:r>
        <w:rPr>
          <w:rFonts w:hint="eastAsia" w:ascii="宋体" w:hAnsi="宋体" w:eastAsia="宋体" w:cs="宋体"/>
          <w:color w:val="FF0000"/>
          <w:highlight w:val="none"/>
        </w:rPr>
        <w:t>日至202</w:t>
      </w:r>
      <w:r>
        <w:rPr>
          <w:rFonts w:hint="eastAsia" w:ascii="宋体" w:hAnsi="宋体" w:eastAsia="宋体" w:cs="宋体"/>
          <w:color w:val="FF0000"/>
          <w:highlight w:val="none"/>
          <w:lang w:val="en-US" w:eastAsia="zh-CN"/>
        </w:rPr>
        <w:t>6</w:t>
      </w:r>
      <w:r>
        <w:rPr>
          <w:rFonts w:hint="eastAsia" w:ascii="宋体" w:hAnsi="宋体" w:eastAsia="宋体" w:cs="宋体"/>
          <w:color w:val="FF0000"/>
          <w:highlight w:val="none"/>
        </w:rPr>
        <w:t>年</w:t>
      </w:r>
      <w:r>
        <w:rPr>
          <w:rFonts w:hint="eastAsia" w:ascii="宋体" w:hAnsi="宋体" w:eastAsia="宋体" w:cs="宋体"/>
          <w:color w:val="FF0000"/>
          <w:highlight w:val="none"/>
          <w:lang w:val="en-US" w:eastAsia="zh-CN"/>
        </w:rPr>
        <w:t xml:space="preserve">  </w:t>
      </w:r>
      <w:r>
        <w:rPr>
          <w:rFonts w:hint="eastAsia" w:ascii="宋体" w:hAnsi="宋体" w:eastAsia="宋体" w:cs="宋体"/>
          <w:color w:val="FF0000"/>
          <w:highlight w:val="none"/>
        </w:rPr>
        <w:t>月</w:t>
      </w:r>
      <w:r>
        <w:rPr>
          <w:rFonts w:hint="eastAsia" w:ascii="宋体" w:hAnsi="宋体" w:eastAsia="宋体" w:cs="宋体"/>
          <w:color w:val="FF0000"/>
          <w:highlight w:val="none"/>
          <w:lang w:val="en-US" w:eastAsia="zh-CN"/>
        </w:rPr>
        <w:t xml:space="preserve">  </w:t>
      </w:r>
      <w:r>
        <w:rPr>
          <w:rFonts w:hint="eastAsia" w:ascii="宋体" w:hAnsi="宋体" w:eastAsia="宋体" w:cs="宋体"/>
          <w:color w:val="FF0000"/>
          <w:highlight w:val="none"/>
        </w:rPr>
        <w:t>日</w:t>
      </w:r>
      <w:r>
        <w:rPr>
          <w:rFonts w:hint="eastAsia" w:ascii="宋体" w:hAnsi="宋体" w:eastAsia="宋体" w:cs="宋体"/>
          <w:color w:val="auto"/>
          <w:highlight w:val="none"/>
        </w:rPr>
        <w:t>，每天上午08:30至12:00，下午15:00至17:00（法定节假日除外）</w:t>
      </w:r>
    </w:p>
    <w:p w14:paraId="5E7018EA">
      <w:pPr>
        <w:pStyle w:val="20"/>
        <w:adjustRightInd w:val="0"/>
        <w:snapToGrid w:val="0"/>
        <w:spacing w:before="0" w:beforeAutospacing="0" w:after="0" w:afterAutospacing="0" w:line="360" w:lineRule="auto"/>
        <w:ind w:firstLine="482"/>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2、地点：</w:t>
      </w:r>
      <w:r>
        <w:rPr>
          <w:rFonts w:hint="eastAsia" w:ascii="宋体" w:hAnsi="宋体" w:eastAsia="宋体" w:cs="宋体"/>
          <w:color w:val="auto"/>
          <w:highlight w:val="none"/>
          <w:lang w:eastAsia="zh-CN"/>
        </w:rPr>
        <w:t>湖北省洪湖市人民医院财务科</w:t>
      </w:r>
    </w:p>
    <w:p w14:paraId="2DC96AF3">
      <w:pPr>
        <w:pStyle w:val="20"/>
        <w:adjustRightInd w:val="0"/>
        <w:snapToGrid w:val="0"/>
        <w:spacing w:before="0" w:beforeAutospacing="0" w:after="0" w:afterAutospacing="0" w:line="360" w:lineRule="auto"/>
        <w:ind w:firstLine="48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3、方式：提供申请人资格要求中涉及的资格证明材料的复印件（需加盖鲜章）、法定代表人证明书或法定代表人授权委托书</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现场获取或邮寄资料（以签收时间为准）。</w:t>
      </w:r>
    </w:p>
    <w:p w14:paraId="4D5A098E">
      <w:pPr>
        <w:pStyle w:val="20"/>
        <w:widowControl/>
        <w:shd w:val="clear" w:color="auto" w:fill="FFFFFF"/>
        <w:adjustRightInd w:val="0"/>
        <w:snapToGrid w:val="0"/>
        <w:spacing w:before="0" w:beforeAutospacing="0" w:after="0" w:afterAutospacing="0" w:line="360" w:lineRule="auto"/>
        <w:ind w:firstLine="482" w:firstLineChars="200"/>
        <w:rPr>
          <w:rFonts w:hint="eastAsia" w:ascii="宋体" w:hAnsi="宋体" w:eastAsia="宋体" w:cs="宋体"/>
          <w:b/>
          <w:bCs/>
          <w:color w:val="auto"/>
          <w:highlight w:val="none"/>
        </w:rPr>
      </w:pPr>
      <w:r>
        <w:rPr>
          <w:rFonts w:hint="eastAsia" w:ascii="宋体" w:hAnsi="宋体" w:eastAsia="宋体" w:cs="宋体"/>
          <w:b/>
          <w:bCs/>
          <w:color w:val="auto"/>
          <w:highlight w:val="none"/>
        </w:rPr>
        <w:t>四、响应文件提交截止及开启时间</w:t>
      </w:r>
    </w:p>
    <w:p w14:paraId="221117F7">
      <w:pPr>
        <w:widowControl/>
        <w:adjustRightInd w:val="0"/>
        <w:snapToGrid w:val="0"/>
        <w:spacing w:line="360" w:lineRule="auto"/>
        <w:ind w:firstLine="480" w:firstLineChars="200"/>
        <w:jc w:val="left"/>
        <w:rPr>
          <w:rFonts w:hint="eastAsia" w:ascii="宋体" w:hAnsi="宋体" w:eastAsia="宋体" w:cs="宋体"/>
          <w:color w:val="FF0000"/>
          <w:kern w:val="0"/>
          <w:sz w:val="24"/>
          <w:highlight w:val="none"/>
        </w:rPr>
      </w:pPr>
      <w:r>
        <w:rPr>
          <w:rFonts w:hint="eastAsia" w:ascii="宋体" w:hAnsi="宋体" w:eastAsia="宋体" w:cs="宋体"/>
          <w:color w:val="FF0000"/>
          <w:kern w:val="0"/>
          <w:sz w:val="24"/>
          <w:highlight w:val="none"/>
        </w:rPr>
        <w:t>1、时间：202</w:t>
      </w:r>
      <w:r>
        <w:rPr>
          <w:rFonts w:hint="eastAsia" w:ascii="宋体" w:hAnsi="宋体" w:eastAsia="宋体" w:cs="宋体"/>
          <w:color w:val="FF0000"/>
          <w:kern w:val="0"/>
          <w:sz w:val="24"/>
          <w:highlight w:val="none"/>
          <w:lang w:val="en-US" w:eastAsia="zh-CN"/>
        </w:rPr>
        <w:t>6</w:t>
      </w:r>
      <w:r>
        <w:rPr>
          <w:rFonts w:hint="eastAsia" w:ascii="宋体" w:hAnsi="宋体" w:eastAsia="宋体" w:cs="宋体"/>
          <w:color w:val="FF0000"/>
          <w:kern w:val="0"/>
          <w:sz w:val="24"/>
          <w:highlight w:val="none"/>
        </w:rPr>
        <w:t>年</w:t>
      </w:r>
      <w:r>
        <w:rPr>
          <w:rFonts w:hint="eastAsia" w:ascii="宋体" w:hAnsi="宋体" w:eastAsia="宋体" w:cs="宋体"/>
          <w:color w:val="FF0000"/>
          <w:kern w:val="0"/>
          <w:sz w:val="24"/>
          <w:highlight w:val="none"/>
          <w:lang w:val="en-US" w:eastAsia="zh-CN"/>
        </w:rPr>
        <w:t xml:space="preserve">  </w:t>
      </w:r>
      <w:r>
        <w:rPr>
          <w:rFonts w:hint="eastAsia" w:ascii="宋体" w:hAnsi="宋体" w:eastAsia="宋体" w:cs="宋体"/>
          <w:color w:val="FF0000"/>
          <w:kern w:val="0"/>
          <w:sz w:val="24"/>
          <w:highlight w:val="none"/>
        </w:rPr>
        <w:t>月</w:t>
      </w:r>
      <w:r>
        <w:rPr>
          <w:rFonts w:hint="eastAsia" w:ascii="宋体" w:hAnsi="宋体" w:eastAsia="宋体" w:cs="宋体"/>
          <w:color w:val="FF0000"/>
          <w:kern w:val="0"/>
          <w:sz w:val="24"/>
          <w:highlight w:val="none"/>
          <w:lang w:val="en-US" w:eastAsia="zh-CN"/>
        </w:rPr>
        <w:t xml:space="preserve">  </w:t>
      </w:r>
      <w:r>
        <w:rPr>
          <w:rFonts w:hint="eastAsia" w:ascii="宋体" w:hAnsi="宋体" w:eastAsia="宋体" w:cs="宋体"/>
          <w:color w:val="FF0000"/>
          <w:kern w:val="0"/>
          <w:sz w:val="24"/>
          <w:highlight w:val="none"/>
        </w:rPr>
        <w:t>日</w:t>
      </w:r>
      <w:r>
        <w:rPr>
          <w:rFonts w:hint="eastAsia" w:ascii="宋体" w:hAnsi="宋体" w:eastAsia="宋体" w:cs="宋体"/>
          <w:color w:val="FF0000"/>
          <w:kern w:val="0"/>
          <w:sz w:val="24"/>
          <w:highlight w:val="none"/>
          <w:lang w:val="en-US" w:eastAsia="zh-CN"/>
        </w:rPr>
        <w:t xml:space="preserve"> 1</w:t>
      </w:r>
      <w:r>
        <w:rPr>
          <w:rFonts w:hint="eastAsia" w:ascii="宋体" w:hAnsi="宋体" w:cs="宋体"/>
          <w:color w:val="FF0000"/>
          <w:kern w:val="0"/>
          <w:sz w:val="24"/>
          <w:highlight w:val="none"/>
          <w:lang w:val="en-US" w:eastAsia="zh-CN"/>
        </w:rPr>
        <w:t>5</w:t>
      </w:r>
      <w:r>
        <w:rPr>
          <w:rFonts w:hint="eastAsia" w:ascii="宋体" w:hAnsi="宋体" w:eastAsia="宋体" w:cs="宋体"/>
          <w:color w:val="FF0000"/>
          <w:kern w:val="0"/>
          <w:sz w:val="24"/>
          <w:highlight w:val="none"/>
          <w:lang w:val="en-US" w:eastAsia="zh-CN"/>
        </w:rPr>
        <w:t xml:space="preserve"> </w:t>
      </w:r>
      <w:r>
        <w:rPr>
          <w:rFonts w:hint="eastAsia" w:ascii="宋体" w:hAnsi="宋体" w:eastAsia="宋体" w:cs="宋体"/>
          <w:color w:val="FF0000"/>
          <w:kern w:val="0"/>
          <w:sz w:val="24"/>
          <w:highlight w:val="none"/>
        </w:rPr>
        <w:t>时</w:t>
      </w:r>
      <w:r>
        <w:rPr>
          <w:rFonts w:hint="eastAsia" w:ascii="宋体" w:hAnsi="宋体" w:eastAsia="宋体" w:cs="宋体"/>
          <w:color w:val="FF0000"/>
          <w:kern w:val="0"/>
          <w:sz w:val="24"/>
          <w:highlight w:val="none"/>
          <w:lang w:val="en-US" w:eastAsia="zh-CN"/>
        </w:rPr>
        <w:t xml:space="preserve"> 00 </w:t>
      </w:r>
      <w:r>
        <w:rPr>
          <w:rFonts w:hint="eastAsia" w:ascii="宋体" w:hAnsi="宋体" w:eastAsia="宋体" w:cs="宋体"/>
          <w:color w:val="FF0000"/>
          <w:kern w:val="0"/>
          <w:sz w:val="24"/>
          <w:highlight w:val="none"/>
        </w:rPr>
        <w:t>分</w:t>
      </w:r>
    </w:p>
    <w:p w14:paraId="662DADEA">
      <w:pPr>
        <w:widowControl/>
        <w:adjustRightInd w:val="0"/>
        <w:snapToGrid w:val="0"/>
        <w:spacing w:line="360" w:lineRule="auto"/>
        <w:ind w:firstLine="480" w:firstLineChars="200"/>
        <w:jc w:val="left"/>
        <w:rPr>
          <w:rFonts w:hint="eastAsia" w:ascii="宋体" w:hAnsi="宋体" w:eastAsia="宋体" w:cs="宋体"/>
          <w:color w:val="FF0000"/>
          <w:kern w:val="0"/>
          <w:sz w:val="24"/>
          <w:highlight w:val="none"/>
          <w:lang w:eastAsia="zh-CN" w:bidi="ar"/>
        </w:rPr>
      </w:pPr>
      <w:r>
        <w:rPr>
          <w:rFonts w:hint="eastAsia" w:ascii="宋体" w:hAnsi="宋体" w:eastAsia="宋体" w:cs="宋体"/>
          <w:color w:val="FF0000"/>
          <w:kern w:val="0"/>
          <w:sz w:val="24"/>
          <w:highlight w:val="none"/>
        </w:rPr>
        <w:t>2、地点：</w:t>
      </w:r>
      <w:r>
        <w:rPr>
          <w:rFonts w:hint="eastAsia" w:ascii="宋体" w:hAnsi="宋体" w:eastAsia="宋体" w:cs="宋体"/>
          <w:color w:val="FF0000"/>
          <w:kern w:val="0"/>
          <w:sz w:val="24"/>
          <w:highlight w:val="none"/>
          <w:lang w:eastAsia="zh-CN"/>
        </w:rPr>
        <w:t>湖北省洪湖市人民医院财务科</w:t>
      </w:r>
    </w:p>
    <w:p w14:paraId="3143CD53">
      <w:pPr>
        <w:widowControl/>
        <w:adjustRightInd w:val="0"/>
        <w:snapToGrid w:val="0"/>
        <w:spacing w:line="360" w:lineRule="auto"/>
        <w:ind w:firstLine="482" w:firstLineChars="200"/>
        <w:jc w:val="left"/>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五、公告期限</w:t>
      </w:r>
    </w:p>
    <w:p w14:paraId="7AD76DEA">
      <w:pPr>
        <w:widowControl/>
        <w:adjustRightInd w:val="0"/>
        <w:snapToGrid w:val="0"/>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自本公告发布之日起5个工作日。</w:t>
      </w:r>
    </w:p>
    <w:p w14:paraId="492E015C">
      <w:pPr>
        <w:widowControl/>
        <w:adjustRightInd w:val="0"/>
        <w:snapToGrid w:val="0"/>
        <w:spacing w:line="360" w:lineRule="auto"/>
        <w:ind w:firstLine="482" w:firstLineChars="200"/>
        <w:jc w:val="left"/>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六、其他补充事宜</w:t>
      </w:r>
    </w:p>
    <w:p w14:paraId="69CF1B13">
      <w:pPr>
        <w:widowControl/>
        <w:adjustRightInd w:val="0"/>
        <w:snapToGrid w:val="0"/>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本次竞争性磋商公告在</w:t>
      </w:r>
      <w:r>
        <w:rPr>
          <w:rFonts w:hint="eastAsia" w:ascii="宋体" w:hAnsi="宋体" w:eastAsia="宋体" w:cs="宋体"/>
          <w:color w:val="auto"/>
          <w:kern w:val="0"/>
          <w:sz w:val="24"/>
          <w:highlight w:val="none"/>
          <w:lang w:eastAsia="zh-CN"/>
        </w:rPr>
        <w:t>洪湖市人民医院</w:t>
      </w:r>
      <w:r>
        <w:rPr>
          <w:rFonts w:hint="eastAsia" w:ascii="宋体" w:hAnsi="宋体" w:eastAsia="宋体" w:cs="宋体"/>
          <w:color w:val="auto"/>
          <w:kern w:val="0"/>
          <w:sz w:val="24"/>
          <w:highlight w:val="none"/>
        </w:rPr>
        <w:t>官网上发布,其他网站转发无效。</w:t>
      </w:r>
    </w:p>
    <w:p w14:paraId="773B30E1">
      <w:pPr>
        <w:widowControl/>
        <w:adjustRightInd w:val="0"/>
        <w:snapToGrid w:val="0"/>
        <w:spacing w:line="360" w:lineRule="auto"/>
        <w:ind w:firstLine="482" w:firstLineChars="200"/>
        <w:jc w:val="left"/>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七、凡对本次采购提出询问，请按以下方式联系</w:t>
      </w:r>
    </w:p>
    <w:p w14:paraId="52737DD1">
      <w:pPr>
        <w:widowControl/>
        <w:adjustRightInd w:val="0"/>
        <w:snapToGrid w:val="0"/>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采购人信息</w:t>
      </w:r>
    </w:p>
    <w:p w14:paraId="59946AB2">
      <w:pPr>
        <w:widowControl/>
        <w:adjustRightInd w:val="0"/>
        <w:snapToGrid w:val="0"/>
        <w:spacing w:line="360" w:lineRule="auto"/>
        <w:ind w:firstLine="480" w:firstLineChars="200"/>
        <w:jc w:val="left"/>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名     称：</w:t>
      </w:r>
      <w:r>
        <w:rPr>
          <w:rFonts w:hint="eastAsia" w:ascii="宋体" w:hAnsi="宋体" w:eastAsia="宋体" w:cs="宋体"/>
          <w:color w:val="auto"/>
          <w:kern w:val="0"/>
          <w:sz w:val="24"/>
          <w:highlight w:val="none"/>
          <w:lang w:eastAsia="zh-CN"/>
        </w:rPr>
        <w:t>洪湖市人民医院</w:t>
      </w:r>
    </w:p>
    <w:p w14:paraId="556E5AB0">
      <w:pPr>
        <w:widowControl/>
        <w:adjustRightInd w:val="0"/>
        <w:snapToGrid w:val="0"/>
        <w:spacing w:line="360" w:lineRule="auto"/>
        <w:ind w:firstLine="480" w:firstLineChars="200"/>
        <w:jc w:val="left"/>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联 系 人：</w:t>
      </w:r>
      <w:r>
        <w:rPr>
          <w:rFonts w:hint="eastAsia" w:ascii="宋体" w:hAnsi="宋体" w:eastAsia="宋体" w:cs="宋体"/>
          <w:color w:val="auto"/>
          <w:kern w:val="0"/>
          <w:sz w:val="24"/>
          <w:highlight w:val="none"/>
          <w:lang w:eastAsia="zh-CN"/>
        </w:rPr>
        <w:t>洪湖市人民医院纪检办公室</w:t>
      </w:r>
    </w:p>
    <w:p w14:paraId="775A10C4">
      <w:pPr>
        <w:widowControl/>
        <w:adjustRightInd w:val="0"/>
        <w:snapToGrid w:val="0"/>
        <w:spacing w:line="360" w:lineRule="auto"/>
        <w:ind w:firstLine="480" w:firstLineChars="2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联系方 式：</w:t>
      </w:r>
      <w:r>
        <w:rPr>
          <w:rFonts w:hint="eastAsia" w:ascii="宋体" w:hAnsi="宋体" w:eastAsia="宋体" w:cs="宋体"/>
          <w:color w:val="auto"/>
          <w:kern w:val="0"/>
          <w:sz w:val="24"/>
          <w:highlight w:val="none"/>
          <w:lang w:val="en-US" w:eastAsia="zh-CN"/>
        </w:rPr>
        <w:t>0716-2425105</w:t>
      </w:r>
    </w:p>
    <w:p w14:paraId="7CEFA76A">
      <w:pPr>
        <w:widowControl/>
        <w:adjustRightInd w:val="0"/>
        <w:snapToGrid w:val="0"/>
        <w:spacing w:line="360" w:lineRule="auto"/>
        <w:ind w:firstLine="5520" w:firstLineChars="2300"/>
        <w:jc w:val="left"/>
        <w:rPr>
          <w:rFonts w:hint="eastAsia" w:ascii="宋体" w:hAnsi="宋体" w:eastAsia="宋体" w:cs="宋体"/>
          <w:color w:val="auto"/>
          <w:sz w:val="24"/>
          <w:highlight w:val="none"/>
          <w:u w:val="single"/>
        </w:rPr>
      </w:pPr>
    </w:p>
    <w:p w14:paraId="105D6E8B">
      <w:pPr>
        <w:widowControl/>
        <w:adjustRightInd w:val="0"/>
        <w:snapToGrid w:val="0"/>
        <w:spacing w:line="360" w:lineRule="auto"/>
        <w:jc w:val="left"/>
        <w:rPr>
          <w:rFonts w:hint="eastAsia" w:ascii="宋体" w:hAnsi="宋体" w:eastAsia="宋体" w:cs="宋体"/>
          <w:color w:val="auto"/>
          <w:sz w:val="24"/>
          <w:highlight w:val="none"/>
          <w:u w:val="single"/>
        </w:rPr>
      </w:pPr>
    </w:p>
    <w:p w14:paraId="457C2C27">
      <w:pPr>
        <w:rPr>
          <w:rFonts w:hint="eastAsia" w:ascii="宋体" w:hAnsi="宋体" w:eastAsia="宋体" w:cs="宋体"/>
          <w:sz w:val="24"/>
          <w:highlight w:val="none"/>
        </w:rPr>
      </w:pPr>
      <w:r>
        <w:rPr>
          <w:rFonts w:hint="eastAsia" w:ascii="宋体" w:hAnsi="宋体" w:eastAsia="宋体" w:cs="宋体"/>
          <w:sz w:val="24"/>
          <w:highlight w:val="none"/>
        </w:rPr>
        <w:br w:type="page"/>
      </w:r>
      <w:r>
        <w:rPr>
          <w:rFonts w:hint="eastAsia" w:ascii="宋体" w:hAnsi="宋体" w:eastAsia="宋体" w:cs="宋体"/>
          <w:color w:val="auto"/>
          <w:highlight w:val="none"/>
          <w:lang w:val="en-US" w:eastAsia="zh-CN"/>
        </w:rPr>
        <w:t>5</w:t>
      </w:r>
    </w:p>
    <w:p w14:paraId="7DAD3B57">
      <w:pPr>
        <w:pStyle w:val="2"/>
        <w:keepNext w:val="0"/>
        <w:spacing w:before="0" w:after="0" w:line="240" w:lineRule="auto"/>
        <w:jc w:val="center"/>
        <w:rPr>
          <w:rFonts w:hint="eastAsia" w:ascii="宋体" w:hAnsi="宋体" w:eastAsia="宋体" w:cs="宋体"/>
          <w:sz w:val="36"/>
          <w:szCs w:val="36"/>
          <w:highlight w:val="none"/>
        </w:rPr>
      </w:pPr>
      <w:bookmarkStart w:id="3" w:name="_Toc16098"/>
      <w:bookmarkStart w:id="4" w:name="_Toc524078629"/>
      <w:bookmarkStart w:id="5" w:name="_Toc524200249"/>
      <w:r>
        <w:rPr>
          <w:rFonts w:hint="eastAsia" w:ascii="宋体" w:hAnsi="宋体" w:eastAsia="宋体" w:cs="宋体"/>
          <w:sz w:val="36"/>
          <w:szCs w:val="36"/>
          <w:highlight w:val="none"/>
        </w:rPr>
        <w:t>第二章 磋商须知</w:t>
      </w:r>
      <w:bookmarkEnd w:id="3"/>
      <w:bookmarkEnd w:id="4"/>
      <w:bookmarkEnd w:id="5"/>
    </w:p>
    <w:p w14:paraId="433172DB">
      <w:pPr>
        <w:pStyle w:val="3"/>
        <w:spacing w:before="0" w:after="0" w:line="240" w:lineRule="auto"/>
        <w:rPr>
          <w:rFonts w:hint="eastAsia" w:ascii="宋体" w:hAnsi="宋体" w:eastAsia="宋体" w:cs="宋体"/>
          <w:sz w:val="24"/>
          <w:szCs w:val="24"/>
          <w:highlight w:val="none"/>
        </w:rPr>
      </w:pPr>
      <w:bookmarkStart w:id="6" w:name="_Toc524200250"/>
      <w:bookmarkStart w:id="7" w:name="_Toc523903647"/>
      <w:bookmarkStart w:id="8" w:name="_Toc522005189"/>
      <w:bookmarkStart w:id="9" w:name="_Toc524078630"/>
      <w:r>
        <w:rPr>
          <w:rFonts w:hint="eastAsia" w:ascii="宋体" w:hAnsi="宋体" w:eastAsia="宋体" w:cs="宋体"/>
          <w:sz w:val="24"/>
          <w:szCs w:val="24"/>
          <w:highlight w:val="none"/>
        </w:rPr>
        <w:t>前 附 表</w:t>
      </w:r>
      <w:bookmarkEnd w:id="6"/>
      <w:bookmarkEnd w:id="7"/>
      <w:bookmarkEnd w:id="8"/>
      <w:bookmarkEnd w:id="9"/>
    </w:p>
    <w:tbl>
      <w:tblPr>
        <w:tblStyle w:val="22"/>
        <w:tblW w:w="93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6"/>
        <w:gridCol w:w="2160"/>
        <w:gridCol w:w="6690"/>
      </w:tblGrid>
      <w:tr w14:paraId="5878E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536" w:type="dxa"/>
            <w:vAlign w:val="center"/>
          </w:tcPr>
          <w:p w14:paraId="18B5389F">
            <w:pPr>
              <w:jc w:val="center"/>
              <w:rPr>
                <w:rFonts w:hint="eastAsia" w:ascii="宋体" w:hAnsi="宋体" w:eastAsia="宋体" w:cs="宋体"/>
                <w:sz w:val="24"/>
                <w:highlight w:val="none"/>
              </w:rPr>
            </w:pPr>
            <w:r>
              <w:rPr>
                <w:rFonts w:hint="eastAsia" w:ascii="宋体" w:hAnsi="宋体" w:eastAsia="宋体" w:cs="宋体"/>
                <w:sz w:val="24"/>
                <w:highlight w:val="none"/>
              </w:rPr>
              <w:t>序号</w:t>
            </w:r>
          </w:p>
        </w:tc>
        <w:tc>
          <w:tcPr>
            <w:tcW w:w="2160" w:type="dxa"/>
            <w:vAlign w:val="center"/>
          </w:tcPr>
          <w:p w14:paraId="6989C653">
            <w:pPr>
              <w:jc w:val="center"/>
              <w:rPr>
                <w:rFonts w:hint="eastAsia" w:ascii="宋体" w:hAnsi="宋体" w:eastAsia="宋体" w:cs="宋体"/>
                <w:sz w:val="24"/>
                <w:highlight w:val="none"/>
              </w:rPr>
            </w:pPr>
            <w:r>
              <w:rPr>
                <w:rFonts w:hint="eastAsia" w:ascii="宋体" w:hAnsi="宋体" w:eastAsia="宋体" w:cs="宋体"/>
                <w:sz w:val="24"/>
                <w:highlight w:val="none"/>
              </w:rPr>
              <w:t>条 款 名 称</w:t>
            </w:r>
          </w:p>
        </w:tc>
        <w:tc>
          <w:tcPr>
            <w:tcW w:w="6690" w:type="dxa"/>
            <w:vAlign w:val="center"/>
          </w:tcPr>
          <w:p w14:paraId="1201024D">
            <w:pPr>
              <w:jc w:val="center"/>
              <w:rPr>
                <w:rFonts w:hint="eastAsia" w:ascii="宋体" w:hAnsi="宋体" w:eastAsia="宋体" w:cs="宋体"/>
                <w:sz w:val="24"/>
                <w:highlight w:val="none"/>
              </w:rPr>
            </w:pPr>
            <w:r>
              <w:rPr>
                <w:rFonts w:hint="eastAsia" w:ascii="宋体" w:hAnsi="宋体" w:eastAsia="宋体" w:cs="宋体"/>
                <w:sz w:val="24"/>
                <w:highlight w:val="none"/>
              </w:rPr>
              <w:t>内 容</w:t>
            </w:r>
          </w:p>
        </w:tc>
      </w:tr>
      <w:tr w14:paraId="5AA79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536" w:type="dxa"/>
            <w:vAlign w:val="center"/>
          </w:tcPr>
          <w:p w14:paraId="5E3BB240">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2160" w:type="dxa"/>
            <w:vAlign w:val="center"/>
          </w:tcPr>
          <w:p w14:paraId="1907C2E8">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采购单位</w:t>
            </w:r>
          </w:p>
        </w:tc>
        <w:tc>
          <w:tcPr>
            <w:tcW w:w="6690" w:type="dxa"/>
            <w:vAlign w:val="center"/>
          </w:tcPr>
          <w:p w14:paraId="1DD8AA0F">
            <w:pPr>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采购人：洪湖市人民医院</w:t>
            </w:r>
          </w:p>
          <w:p w14:paraId="3112FFC4">
            <w:pPr>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联系电话：</w:t>
            </w:r>
            <w:r>
              <w:rPr>
                <w:rFonts w:hint="eastAsia" w:ascii="宋体" w:hAnsi="宋体" w:eastAsia="宋体" w:cs="宋体"/>
                <w:color w:val="auto"/>
                <w:sz w:val="24"/>
                <w:highlight w:val="none"/>
                <w:lang w:val="en-US" w:eastAsia="zh-CN"/>
              </w:rPr>
              <w:t>18171992503</w:t>
            </w:r>
            <w:r>
              <w:rPr>
                <w:rFonts w:hint="eastAsia" w:ascii="宋体" w:hAnsi="宋体" w:eastAsia="宋体" w:cs="宋体"/>
                <w:color w:val="auto"/>
                <w:sz w:val="24"/>
                <w:highlight w:val="none"/>
                <w:lang w:val="zh-CN"/>
              </w:rPr>
              <w:t xml:space="preserve"> </w:t>
            </w:r>
          </w:p>
        </w:tc>
      </w:tr>
      <w:tr w14:paraId="7F1B5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536" w:type="dxa"/>
            <w:vAlign w:val="center"/>
          </w:tcPr>
          <w:p w14:paraId="12307218">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2160" w:type="dxa"/>
            <w:vAlign w:val="center"/>
          </w:tcPr>
          <w:p w14:paraId="3B4FEB56">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项目名称</w:t>
            </w:r>
          </w:p>
        </w:tc>
        <w:tc>
          <w:tcPr>
            <w:tcW w:w="6690" w:type="dxa"/>
            <w:vAlign w:val="center"/>
          </w:tcPr>
          <w:p w14:paraId="642B7D92">
            <w:pPr>
              <w:widowControl/>
              <w:shd w:val="clear" w:color="auto" w:fill="FFFFFF"/>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洪湖市人民医院</w:t>
            </w:r>
            <w:r>
              <w:rPr>
                <w:rFonts w:hint="eastAsia" w:ascii="宋体" w:hAnsi="宋体" w:eastAsia="宋体" w:cs="宋体"/>
                <w:color w:val="auto"/>
                <w:sz w:val="24"/>
                <w:highlight w:val="none"/>
              </w:rPr>
              <w:t>招标代理机构遴选项目</w:t>
            </w:r>
          </w:p>
        </w:tc>
      </w:tr>
      <w:tr w14:paraId="70C86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536" w:type="dxa"/>
            <w:vAlign w:val="center"/>
          </w:tcPr>
          <w:p w14:paraId="04830347">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2160" w:type="dxa"/>
            <w:vAlign w:val="center"/>
          </w:tcPr>
          <w:p w14:paraId="7A63DE27">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项目编号</w:t>
            </w:r>
          </w:p>
        </w:tc>
        <w:tc>
          <w:tcPr>
            <w:tcW w:w="6690" w:type="dxa"/>
          </w:tcPr>
          <w:p w14:paraId="1F0972AE">
            <w:pPr>
              <w:widowControl/>
              <w:shd w:val="clear" w:color="auto" w:fill="FFFFFF"/>
              <w:spacing w:line="360" w:lineRule="auto"/>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HHRMYYCWK-20260902</w:t>
            </w:r>
          </w:p>
        </w:tc>
      </w:tr>
      <w:tr w14:paraId="08B40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536" w:type="dxa"/>
            <w:vAlign w:val="center"/>
          </w:tcPr>
          <w:p w14:paraId="687E4F7C">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p>
        </w:tc>
        <w:tc>
          <w:tcPr>
            <w:tcW w:w="2160" w:type="dxa"/>
            <w:vAlign w:val="center"/>
          </w:tcPr>
          <w:p w14:paraId="5A47C303">
            <w:pPr>
              <w:jc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服务期限</w:t>
            </w:r>
          </w:p>
        </w:tc>
        <w:tc>
          <w:tcPr>
            <w:tcW w:w="6690" w:type="dxa"/>
            <w:vAlign w:val="center"/>
          </w:tcPr>
          <w:p w14:paraId="05AB846D">
            <w:pPr>
              <w:rPr>
                <w:rFonts w:hint="eastAsia" w:ascii="宋体" w:hAnsi="宋体" w:eastAsia="宋体" w:cs="宋体"/>
                <w:color w:val="auto"/>
                <w:sz w:val="24"/>
                <w:highlight w:val="none"/>
              </w:rPr>
            </w:pPr>
            <w:r>
              <w:rPr>
                <w:rFonts w:hint="eastAsia" w:ascii="宋体" w:hAnsi="宋体" w:cs="宋体"/>
                <w:color w:val="auto"/>
                <w:sz w:val="24"/>
                <w:highlight w:val="none"/>
                <w:lang w:eastAsia="zh-CN"/>
              </w:rPr>
              <w:t>两</w:t>
            </w:r>
            <w:r>
              <w:rPr>
                <w:rFonts w:hint="eastAsia" w:ascii="宋体" w:hAnsi="宋体" w:eastAsia="宋体" w:cs="宋体"/>
                <w:color w:val="auto"/>
                <w:sz w:val="24"/>
                <w:highlight w:val="none"/>
              </w:rPr>
              <w:t>年</w:t>
            </w:r>
            <w:r>
              <w:rPr>
                <w:rFonts w:hint="eastAsia" w:ascii="宋体" w:hAnsi="宋体" w:cs="宋体"/>
                <w:color w:val="auto"/>
                <w:sz w:val="24"/>
                <w:highlight w:val="none"/>
                <w:lang w:eastAsia="zh-CN"/>
              </w:rPr>
              <w:t>（协议一年一签）</w:t>
            </w:r>
            <w:bookmarkStart w:id="80" w:name="_GoBack"/>
            <w:bookmarkEnd w:id="80"/>
          </w:p>
        </w:tc>
      </w:tr>
      <w:tr w14:paraId="30B5E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6" w:type="dxa"/>
            <w:vAlign w:val="center"/>
          </w:tcPr>
          <w:p w14:paraId="579C91F4">
            <w:pPr>
              <w:jc w:val="center"/>
              <w:rPr>
                <w:rFonts w:hint="eastAsia" w:ascii="宋体" w:hAnsi="宋体" w:eastAsia="宋体" w:cs="宋体"/>
                <w:sz w:val="24"/>
                <w:highlight w:val="none"/>
              </w:rPr>
            </w:pPr>
            <w:r>
              <w:rPr>
                <w:rFonts w:hint="eastAsia" w:ascii="宋体" w:hAnsi="宋体" w:eastAsia="宋体" w:cs="宋体"/>
                <w:sz w:val="24"/>
                <w:highlight w:val="none"/>
              </w:rPr>
              <w:t>5</w:t>
            </w:r>
          </w:p>
        </w:tc>
        <w:tc>
          <w:tcPr>
            <w:tcW w:w="2160" w:type="dxa"/>
            <w:vAlign w:val="center"/>
          </w:tcPr>
          <w:p w14:paraId="23C644EC">
            <w:pPr>
              <w:jc w:val="center"/>
              <w:rPr>
                <w:rFonts w:hint="eastAsia" w:ascii="宋体" w:hAnsi="宋体" w:eastAsia="宋体" w:cs="宋体"/>
                <w:sz w:val="24"/>
                <w:highlight w:val="none"/>
              </w:rPr>
            </w:pPr>
            <w:r>
              <w:rPr>
                <w:rFonts w:hint="eastAsia" w:ascii="宋体" w:hAnsi="宋体" w:eastAsia="宋体" w:cs="宋体"/>
                <w:sz w:val="24"/>
                <w:highlight w:val="none"/>
              </w:rPr>
              <w:t>供应商应具备的</w:t>
            </w:r>
          </w:p>
          <w:p w14:paraId="4A06D203">
            <w:pPr>
              <w:jc w:val="center"/>
              <w:rPr>
                <w:rFonts w:hint="eastAsia" w:ascii="宋体" w:hAnsi="宋体" w:eastAsia="宋体" w:cs="宋体"/>
                <w:sz w:val="24"/>
                <w:highlight w:val="none"/>
              </w:rPr>
            </w:pPr>
            <w:r>
              <w:rPr>
                <w:rFonts w:hint="eastAsia" w:ascii="宋体" w:hAnsi="宋体" w:eastAsia="宋体" w:cs="宋体"/>
                <w:sz w:val="24"/>
                <w:highlight w:val="none"/>
              </w:rPr>
              <w:t>基本条件</w:t>
            </w:r>
          </w:p>
        </w:tc>
        <w:tc>
          <w:tcPr>
            <w:tcW w:w="6690" w:type="dxa"/>
            <w:vAlign w:val="center"/>
          </w:tcPr>
          <w:p w14:paraId="5DBBC057">
            <w:pPr>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1、符合《中华人民共和国政府采购法》第二十二条对供应商的要求；</w:t>
            </w:r>
          </w:p>
          <w:p w14:paraId="44A08981">
            <w:pPr>
              <w:ind w:firstLine="240" w:firstLineChars="100"/>
              <w:rPr>
                <w:rFonts w:hint="eastAsia" w:ascii="宋体" w:hAnsi="宋体" w:eastAsia="宋体" w:cs="宋体"/>
                <w:sz w:val="24"/>
                <w:highlight w:val="none"/>
              </w:rPr>
            </w:pPr>
            <w:r>
              <w:rPr>
                <w:rFonts w:hint="eastAsia" w:ascii="宋体" w:hAnsi="宋体" w:eastAsia="宋体" w:cs="宋体"/>
                <w:sz w:val="24"/>
                <w:highlight w:val="none"/>
              </w:rPr>
              <w:t>（1）具有独立承担民事责任的能力；</w:t>
            </w:r>
          </w:p>
          <w:p w14:paraId="15A4EBD8">
            <w:pPr>
              <w:ind w:firstLine="240" w:firstLineChars="100"/>
              <w:rPr>
                <w:rFonts w:hint="eastAsia" w:ascii="宋体" w:hAnsi="宋体" w:eastAsia="宋体" w:cs="宋体"/>
                <w:sz w:val="24"/>
                <w:highlight w:val="none"/>
              </w:rPr>
            </w:pPr>
            <w:r>
              <w:rPr>
                <w:rFonts w:hint="eastAsia" w:ascii="宋体" w:hAnsi="宋体" w:eastAsia="宋体" w:cs="宋体"/>
                <w:sz w:val="24"/>
                <w:highlight w:val="none"/>
              </w:rPr>
              <w:t>（2）具有良好的商业信誉和健全的财务会计制度；</w:t>
            </w:r>
          </w:p>
          <w:p w14:paraId="2F73E307">
            <w:pPr>
              <w:ind w:firstLine="240" w:firstLineChars="100"/>
              <w:rPr>
                <w:rFonts w:hint="eastAsia" w:ascii="宋体" w:hAnsi="宋体" w:eastAsia="宋体" w:cs="宋体"/>
                <w:sz w:val="24"/>
                <w:highlight w:val="none"/>
              </w:rPr>
            </w:pPr>
            <w:r>
              <w:rPr>
                <w:rFonts w:hint="eastAsia" w:ascii="宋体" w:hAnsi="宋体" w:eastAsia="宋体" w:cs="宋体"/>
                <w:sz w:val="24"/>
                <w:highlight w:val="none"/>
              </w:rPr>
              <w:t>（3）具有履行合同所必需的设备和专业技术能力；</w:t>
            </w:r>
          </w:p>
          <w:p w14:paraId="42F1A568">
            <w:pPr>
              <w:ind w:firstLine="240" w:firstLineChars="100"/>
              <w:rPr>
                <w:rFonts w:hint="eastAsia" w:ascii="宋体" w:hAnsi="宋体" w:eastAsia="宋体" w:cs="宋体"/>
                <w:sz w:val="24"/>
                <w:highlight w:val="none"/>
              </w:rPr>
            </w:pPr>
            <w:r>
              <w:rPr>
                <w:rFonts w:hint="eastAsia" w:ascii="宋体" w:hAnsi="宋体" w:eastAsia="宋体" w:cs="宋体"/>
                <w:sz w:val="24"/>
                <w:highlight w:val="none"/>
              </w:rPr>
              <w:t>（4）有依法缴纳税收和社会保障资金的良好记录；</w:t>
            </w:r>
          </w:p>
          <w:p w14:paraId="5927F645">
            <w:pPr>
              <w:ind w:firstLine="240" w:firstLineChars="100"/>
              <w:rPr>
                <w:rFonts w:hint="eastAsia" w:ascii="宋体" w:hAnsi="宋体" w:eastAsia="宋体" w:cs="宋体"/>
                <w:sz w:val="24"/>
                <w:highlight w:val="none"/>
              </w:rPr>
            </w:pPr>
            <w:r>
              <w:rPr>
                <w:rFonts w:hint="eastAsia" w:ascii="宋体" w:hAnsi="宋体" w:eastAsia="宋体" w:cs="宋体"/>
                <w:sz w:val="24"/>
                <w:highlight w:val="none"/>
              </w:rPr>
              <w:t>（5）参加政府采购活动前三年内，在经营活动中没有重大违法记录；</w:t>
            </w:r>
          </w:p>
          <w:p w14:paraId="5216EF5D">
            <w:pPr>
              <w:ind w:firstLine="240" w:firstLineChars="100"/>
              <w:rPr>
                <w:rFonts w:hint="eastAsia" w:ascii="宋体" w:hAnsi="宋体" w:eastAsia="宋体" w:cs="宋体"/>
                <w:sz w:val="24"/>
                <w:highlight w:val="none"/>
              </w:rPr>
            </w:pPr>
            <w:r>
              <w:rPr>
                <w:rFonts w:hint="eastAsia" w:ascii="宋体" w:hAnsi="宋体" w:eastAsia="宋体" w:cs="宋体"/>
                <w:sz w:val="24"/>
                <w:highlight w:val="none"/>
              </w:rPr>
              <w:t>（6）法律、行政法规规定的其他条件。</w:t>
            </w:r>
          </w:p>
          <w:p w14:paraId="3D8F698C">
            <w:pPr>
              <w:ind w:firstLine="420" w:firstLineChars="175"/>
              <w:rPr>
                <w:rFonts w:hint="eastAsia" w:ascii="宋体" w:hAnsi="宋体" w:eastAsia="宋体" w:cs="宋体"/>
                <w:sz w:val="24"/>
                <w:highlight w:val="none"/>
              </w:rPr>
            </w:pPr>
            <w:r>
              <w:rPr>
                <w:rFonts w:hint="eastAsia" w:ascii="宋体" w:hAnsi="宋体" w:eastAsia="宋体" w:cs="宋体"/>
                <w:sz w:val="24"/>
                <w:highlight w:val="none"/>
              </w:rPr>
              <w:t>2、供应商具备政府采购社会代理资质（招标代理机构在政府采购网上的备案证明文件或网页截图）；</w:t>
            </w:r>
          </w:p>
          <w:p w14:paraId="50D11A5C">
            <w:pPr>
              <w:ind w:firstLine="420" w:firstLineChars="175"/>
              <w:rPr>
                <w:rFonts w:hint="eastAsia" w:ascii="宋体" w:hAnsi="宋体" w:eastAsia="宋体" w:cs="宋体"/>
                <w:sz w:val="24"/>
                <w:highlight w:val="none"/>
              </w:rPr>
            </w:pPr>
            <w:r>
              <w:rPr>
                <w:rFonts w:hint="eastAsia" w:ascii="宋体" w:hAnsi="宋体" w:eastAsia="宋体" w:cs="宋体"/>
                <w:sz w:val="24"/>
                <w:highlight w:val="none"/>
              </w:rPr>
              <w:t>3、未被“信用中国”（www.creditchina.gov.cn）、中国政府采购网（www.ccgp.gov.cn）列入失信被执行人、重大税收违法案件当事人名单、政府采购严重违法失信行为记录名单；</w:t>
            </w:r>
          </w:p>
        </w:tc>
      </w:tr>
      <w:tr w14:paraId="12659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536" w:type="dxa"/>
            <w:vAlign w:val="center"/>
          </w:tcPr>
          <w:p w14:paraId="2D7CD088">
            <w:pPr>
              <w:jc w:val="center"/>
              <w:rPr>
                <w:rFonts w:hint="eastAsia" w:ascii="宋体" w:hAnsi="宋体" w:eastAsia="宋体" w:cs="宋体"/>
                <w:sz w:val="24"/>
                <w:highlight w:val="none"/>
              </w:rPr>
            </w:pPr>
            <w:r>
              <w:rPr>
                <w:rFonts w:hint="eastAsia" w:ascii="宋体" w:hAnsi="宋体" w:eastAsia="宋体" w:cs="宋体"/>
                <w:sz w:val="24"/>
                <w:highlight w:val="none"/>
              </w:rPr>
              <w:t>6</w:t>
            </w:r>
          </w:p>
        </w:tc>
        <w:tc>
          <w:tcPr>
            <w:tcW w:w="2160" w:type="dxa"/>
            <w:vAlign w:val="center"/>
          </w:tcPr>
          <w:p w14:paraId="28D1629D">
            <w:pPr>
              <w:jc w:val="center"/>
              <w:rPr>
                <w:rFonts w:hint="eastAsia" w:ascii="宋体" w:hAnsi="宋体" w:eastAsia="宋体" w:cs="宋体"/>
                <w:sz w:val="24"/>
                <w:highlight w:val="none"/>
              </w:rPr>
            </w:pPr>
            <w:r>
              <w:rPr>
                <w:rFonts w:hint="eastAsia" w:ascii="宋体" w:hAnsi="宋体" w:eastAsia="宋体" w:cs="宋体"/>
                <w:sz w:val="24"/>
                <w:highlight w:val="none"/>
              </w:rPr>
              <w:t>供应商提交的备选方案</w:t>
            </w:r>
          </w:p>
        </w:tc>
        <w:tc>
          <w:tcPr>
            <w:tcW w:w="6690" w:type="dxa"/>
            <w:vAlign w:val="center"/>
          </w:tcPr>
          <w:p w14:paraId="5199788D">
            <w:pPr>
              <w:jc w:val="left"/>
              <w:rPr>
                <w:rFonts w:hint="eastAsia" w:ascii="宋体" w:hAnsi="宋体" w:eastAsia="宋体" w:cs="宋体"/>
                <w:sz w:val="24"/>
                <w:highlight w:val="none"/>
              </w:rPr>
            </w:pPr>
            <w:r>
              <w:rPr>
                <w:rFonts w:hint="eastAsia" w:ascii="宋体" w:hAnsi="宋体" w:eastAsia="宋体" w:cs="宋体"/>
                <w:sz w:val="24"/>
                <w:highlight w:val="none"/>
              </w:rPr>
              <w:t>不接受备选方案</w:t>
            </w:r>
          </w:p>
        </w:tc>
      </w:tr>
      <w:tr w14:paraId="03505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536" w:type="dxa"/>
            <w:vAlign w:val="center"/>
          </w:tcPr>
          <w:p w14:paraId="26FAB630">
            <w:pPr>
              <w:jc w:val="center"/>
              <w:rPr>
                <w:rFonts w:hint="eastAsia" w:ascii="宋体" w:hAnsi="宋体" w:eastAsia="宋体" w:cs="宋体"/>
                <w:sz w:val="24"/>
                <w:highlight w:val="none"/>
              </w:rPr>
            </w:pPr>
            <w:r>
              <w:rPr>
                <w:rFonts w:hint="eastAsia" w:ascii="宋体" w:hAnsi="宋体" w:eastAsia="宋体" w:cs="宋体"/>
                <w:sz w:val="24"/>
                <w:highlight w:val="none"/>
              </w:rPr>
              <w:t>7</w:t>
            </w:r>
          </w:p>
        </w:tc>
        <w:tc>
          <w:tcPr>
            <w:tcW w:w="2160" w:type="dxa"/>
            <w:vAlign w:val="center"/>
          </w:tcPr>
          <w:p w14:paraId="2CDB8DB0">
            <w:pPr>
              <w:jc w:val="center"/>
              <w:rPr>
                <w:rFonts w:hint="eastAsia" w:ascii="宋体" w:hAnsi="宋体" w:eastAsia="宋体" w:cs="宋体"/>
                <w:sz w:val="24"/>
                <w:highlight w:val="none"/>
              </w:rPr>
            </w:pPr>
            <w:r>
              <w:rPr>
                <w:rFonts w:hint="eastAsia" w:ascii="宋体" w:hAnsi="宋体" w:eastAsia="宋体" w:cs="宋体"/>
                <w:sz w:val="24"/>
                <w:highlight w:val="none"/>
              </w:rPr>
              <w:t>联合体竞争</w:t>
            </w:r>
          </w:p>
        </w:tc>
        <w:tc>
          <w:tcPr>
            <w:tcW w:w="6690" w:type="dxa"/>
            <w:vAlign w:val="center"/>
          </w:tcPr>
          <w:p w14:paraId="3E78BAFC">
            <w:pPr>
              <w:jc w:val="left"/>
              <w:rPr>
                <w:rFonts w:hint="eastAsia" w:ascii="宋体" w:hAnsi="宋体" w:eastAsia="宋体" w:cs="宋体"/>
                <w:sz w:val="24"/>
                <w:highlight w:val="none"/>
              </w:rPr>
            </w:pPr>
            <w:r>
              <w:rPr>
                <w:rFonts w:hint="eastAsia" w:ascii="宋体" w:hAnsi="宋体" w:eastAsia="宋体" w:cs="宋体"/>
                <w:sz w:val="24"/>
                <w:highlight w:val="none"/>
              </w:rPr>
              <w:t>本项目不接受联合体参与报价</w:t>
            </w:r>
          </w:p>
        </w:tc>
      </w:tr>
      <w:tr w14:paraId="7109C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536" w:type="dxa"/>
            <w:vAlign w:val="center"/>
          </w:tcPr>
          <w:p w14:paraId="5617E655">
            <w:pPr>
              <w:jc w:val="center"/>
              <w:rPr>
                <w:rFonts w:hint="eastAsia" w:ascii="宋体" w:hAnsi="宋体" w:eastAsia="宋体" w:cs="宋体"/>
                <w:sz w:val="24"/>
                <w:highlight w:val="none"/>
              </w:rPr>
            </w:pPr>
            <w:r>
              <w:rPr>
                <w:rFonts w:hint="eastAsia" w:ascii="宋体" w:hAnsi="宋体" w:eastAsia="宋体" w:cs="宋体"/>
                <w:sz w:val="24"/>
                <w:highlight w:val="none"/>
              </w:rPr>
              <w:t>8</w:t>
            </w:r>
          </w:p>
        </w:tc>
        <w:tc>
          <w:tcPr>
            <w:tcW w:w="2160" w:type="dxa"/>
            <w:vAlign w:val="center"/>
          </w:tcPr>
          <w:p w14:paraId="19F5E27F">
            <w:pPr>
              <w:jc w:val="center"/>
              <w:rPr>
                <w:rFonts w:hint="eastAsia" w:ascii="宋体" w:hAnsi="宋体" w:eastAsia="宋体" w:cs="宋体"/>
                <w:sz w:val="24"/>
                <w:highlight w:val="none"/>
              </w:rPr>
            </w:pPr>
            <w:r>
              <w:rPr>
                <w:rFonts w:hint="eastAsia" w:ascii="宋体" w:hAnsi="宋体" w:eastAsia="宋体" w:cs="宋体"/>
                <w:sz w:val="24"/>
                <w:highlight w:val="none"/>
              </w:rPr>
              <w:t>磋商有效期</w:t>
            </w:r>
          </w:p>
        </w:tc>
        <w:tc>
          <w:tcPr>
            <w:tcW w:w="6690" w:type="dxa"/>
            <w:vAlign w:val="center"/>
          </w:tcPr>
          <w:p w14:paraId="1CB6EC55">
            <w:pPr>
              <w:jc w:val="left"/>
              <w:rPr>
                <w:rFonts w:hint="eastAsia" w:ascii="宋体" w:hAnsi="宋体" w:eastAsia="宋体" w:cs="宋体"/>
                <w:sz w:val="24"/>
                <w:highlight w:val="none"/>
              </w:rPr>
            </w:pPr>
            <w:r>
              <w:rPr>
                <w:rFonts w:hint="eastAsia" w:ascii="宋体" w:hAnsi="宋体" w:eastAsia="宋体" w:cs="宋体"/>
                <w:sz w:val="24"/>
                <w:highlight w:val="none"/>
              </w:rPr>
              <w:t>自磋商之日起</w:t>
            </w:r>
            <w:r>
              <w:rPr>
                <w:rFonts w:hint="eastAsia" w:ascii="宋体" w:hAnsi="宋体" w:eastAsia="宋体" w:cs="宋体"/>
                <w:sz w:val="24"/>
                <w:highlight w:val="none"/>
                <w:u w:val="single"/>
                <w:lang w:val="en-US" w:eastAsia="zh-CN"/>
              </w:rPr>
              <w:t>90</w:t>
            </w:r>
            <w:r>
              <w:rPr>
                <w:rFonts w:hint="eastAsia" w:ascii="宋体" w:hAnsi="宋体" w:eastAsia="宋体" w:cs="宋体"/>
                <w:sz w:val="24"/>
                <w:highlight w:val="none"/>
              </w:rPr>
              <w:t>日历天</w:t>
            </w:r>
          </w:p>
        </w:tc>
      </w:tr>
      <w:tr w14:paraId="662EC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536" w:type="dxa"/>
            <w:vAlign w:val="center"/>
          </w:tcPr>
          <w:p w14:paraId="3ADB0AA8">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9</w:t>
            </w:r>
          </w:p>
        </w:tc>
        <w:tc>
          <w:tcPr>
            <w:tcW w:w="2160" w:type="dxa"/>
            <w:vAlign w:val="center"/>
          </w:tcPr>
          <w:p w14:paraId="330E61CF">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磋商响应文件份数</w:t>
            </w:r>
          </w:p>
        </w:tc>
        <w:tc>
          <w:tcPr>
            <w:tcW w:w="6690" w:type="dxa"/>
            <w:vAlign w:val="center"/>
          </w:tcPr>
          <w:p w14:paraId="27FB2FF2">
            <w:pPr>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正本一份，副本</w:t>
            </w:r>
            <w:r>
              <w:rPr>
                <w:rFonts w:hint="eastAsia" w:ascii="宋体" w:hAnsi="宋体" w:eastAsia="宋体" w:cs="宋体"/>
                <w:color w:val="auto"/>
                <w:sz w:val="24"/>
                <w:highlight w:val="none"/>
                <w:lang w:val="en-US" w:eastAsia="zh-CN"/>
              </w:rPr>
              <w:t>一</w:t>
            </w:r>
            <w:r>
              <w:rPr>
                <w:rFonts w:hint="eastAsia" w:ascii="宋体" w:hAnsi="宋体" w:eastAsia="宋体" w:cs="宋体"/>
                <w:color w:val="auto"/>
                <w:sz w:val="24"/>
                <w:highlight w:val="none"/>
              </w:rPr>
              <w:t>份。</w:t>
            </w:r>
          </w:p>
        </w:tc>
      </w:tr>
      <w:tr w14:paraId="35370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36" w:type="dxa"/>
            <w:vAlign w:val="center"/>
          </w:tcPr>
          <w:p w14:paraId="1887EA7F">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10</w:t>
            </w:r>
          </w:p>
        </w:tc>
        <w:tc>
          <w:tcPr>
            <w:tcW w:w="2160" w:type="dxa"/>
            <w:vAlign w:val="center"/>
          </w:tcPr>
          <w:p w14:paraId="67197972">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磋商代表</w:t>
            </w:r>
          </w:p>
        </w:tc>
        <w:tc>
          <w:tcPr>
            <w:tcW w:w="6690" w:type="dxa"/>
            <w:vAlign w:val="center"/>
          </w:tcPr>
          <w:p w14:paraId="67B829E8">
            <w:pPr>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磋商代表必须是法定代表人，或是持有《法定代表人授权委托书》的被授权代表人。</w:t>
            </w:r>
          </w:p>
        </w:tc>
      </w:tr>
      <w:tr w14:paraId="58819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36" w:type="dxa"/>
            <w:vAlign w:val="center"/>
          </w:tcPr>
          <w:p w14:paraId="1BA40E0E">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11</w:t>
            </w:r>
          </w:p>
        </w:tc>
        <w:tc>
          <w:tcPr>
            <w:tcW w:w="2160" w:type="dxa"/>
            <w:vAlign w:val="center"/>
          </w:tcPr>
          <w:p w14:paraId="18DEFA1E">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签字或盖章要求</w:t>
            </w:r>
          </w:p>
        </w:tc>
        <w:tc>
          <w:tcPr>
            <w:tcW w:w="6690" w:type="dxa"/>
            <w:vAlign w:val="center"/>
          </w:tcPr>
          <w:p w14:paraId="6B1F79E2">
            <w:pPr>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法定代表人或其委托的授权代表签字并加盖公司公章</w:t>
            </w:r>
          </w:p>
        </w:tc>
      </w:tr>
      <w:tr w14:paraId="49702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36" w:type="dxa"/>
            <w:vAlign w:val="center"/>
          </w:tcPr>
          <w:p w14:paraId="7988E63E">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12</w:t>
            </w:r>
          </w:p>
        </w:tc>
        <w:tc>
          <w:tcPr>
            <w:tcW w:w="2160" w:type="dxa"/>
            <w:vAlign w:val="center"/>
          </w:tcPr>
          <w:p w14:paraId="79FC323C">
            <w:pPr>
              <w:jc w:val="center"/>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磋商时间</w:t>
            </w:r>
          </w:p>
        </w:tc>
        <w:tc>
          <w:tcPr>
            <w:tcW w:w="6690" w:type="dxa"/>
            <w:vAlign w:val="center"/>
          </w:tcPr>
          <w:p w14:paraId="68FDE502">
            <w:pPr>
              <w:jc w:val="left"/>
              <w:rPr>
                <w:rFonts w:hint="eastAsia" w:ascii="宋体" w:hAnsi="宋体" w:eastAsia="宋体" w:cs="宋体"/>
                <w:b w:val="0"/>
                <w:bCs w:val="0"/>
                <w:color w:val="auto"/>
                <w:sz w:val="24"/>
                <w:highlight w:val="none"/>
              </w:rPr>
            </w:pPr>
            <w:r>
              <w:rPr>
                <w:rFonts w:hint="eastAsia" w:ascii="宋体" w:hAnsi="宋体" w:eastAsia="宋体" w:cs="宋体"/>
                <w:b w:val="0"/>
                <w:bCs w:val="0"/>
                <w:color w:val="FF0000"/>
                <w:sz w:val="24"/>
                <w:highlight w:val="none"/>
              </w:rPr>
              <w:t>202</w:t>
            </w:r>
            <w:r>
              <w:rPr>
                <w:rFonts w:hint="eastAsia" w:ascii="宋体" w:hAnsi="宋体" w:eastAsia="宋体" w:cs="宋体"/>
                <w:b w:val="0"/>
                <w:bCs w:val="0"/>
                <w:color w:val="FF0000"/>
                <w:sz w:val="24"/>
                <w:highlight w:val="none"/>
                <w:lang w:val="en-US" w:eastAsia="zh-CN"/>
              </w:rPr>
              <w:t>6</w:t>
            </w:r>
            <w:r>
              <w:rPr>
                <w:rFonts w:hint="eastAsia" w:ascii="宋体" w:hAnsi="宋体" w:eastAsia="宋体" w:cs="宋体"/>
                <w:b w:val="0"/>
                <w:bCs w:val="0"/>
                <w:color w:val="FF0000"/>
                <w:sz w:val="24"/>
                <w:highlight w:val="none"/>
              </w:rPr>
              <w:t>年</w:t>
            </w:r>
            <w:r>
              <w:rPr>
                <w:rFonts w:hint="eastAsia" w:ascii="宋体" w:hAnsi="宋体" w:eastAsia="宋体" w:cs="宋体"/>
                <w:b w:val="0"/>
                <w:bCs w:val="0"/>
                <w:color w:val="FF0000"/>
                <w:sz w:val="24"/>
                <w:highlight w:val="none"/>
                <w:lang w:val="en-US" w:eastAsia="zh-CN"/>
              </w:rPr>
              <w:t xml:space="preserve">  </w:t>
            </w:r>
            <w:r>
              <w:rPr>
                <w:rFonts w:hint="eastAsia" w:ascii="宋体" w:hAnsi="宋体" w:eastAsia="宋体" w:cs="宋体"/>
                <w:b w:val="0"/>
                <w:bCs w:val="0"/>
                <w:color w:val="FF0000"/>
                <w:sz w:val="24"/>
                <w:highlight w:val="none"/>
              </w:rPr>
              <w:t>月</w:t>
            </w:r>
            <w:r>
              <w:rPr>
                <w:rFonts w:hint="eastAsia" w:ascii="宋体" w:hAnsi="宋体" w:eastAsia="宋体" w:cs="宋体"/>
                <w:b w:val="0"/>
                <w:bCs w:val="0"/>
                <w:color w:val="FF0000"/>
                <w:sz w:val="24"/>
                <w:highlight w:val="none"/>
                <w:lang w:val="en-US" w:eastAsia="zh-CN"/>
              </w:rPr>
              <w:t xml:space="preserve">  </w:t>
            </w:r>
            <w:r>
              <w:rPr>
                <w:rFonts w:hint="eastAsia" w:ascii="宋体" w:hAnsi="宋体" w:eastAsia="宋体" w:cs="宋体"/>
                <w:b w:val="0"/>
                <w:bCs w:val="0"/>
                <w:color w:val="FF0000"/>
                <w:sz w:val="24"/>
                <w:highlight w:val="none"/>
              </w:rPr>
              <w:t>日</w:t>
            </w:r>
            <w:r>
              <w:rPr>
                <w:rFonts w:hint="eastAsia" w:ascii="宋体" w:hAnsi="宋体" w:eastAsia="宋体" w:cs="宋体"/>
                <w:b w:val="0"/>
                <w:bCs w:val="0"/>
                <w:color w:val="FF0000"/>
                <w:sz w:val="24"/>
                <w:highlight w:val="none"/>
                <w:lang w:val="en-US" w:eastAsia="zh-CN"/>
              </w:rPr>
              <w:t>1</w:t>
            </w:r>
            <w:r>
              <w:rPr>
                <w:rFonts w:hint="eastAsia" w:ascii="宋体" w:hAnsi="宋体" w:cs="宋体"/>
                <w:b w:val="0"/>
                <w:bCs w:val="0"/>
                <w:color w:val="FF0000"/>
                <w:sz w:val="24"/>
                <w:highlight w:val="none"/>
                <w:lang w:val="en-US" w:eastAsia="zh-CN"/>
              </w:rPr>
              <w:t>5</w:t>
            </w:r>
            <w:r>
              <w:rPr>
                <w:rFonts w:hint="eastAsia" w:ascii="宋体" w:hAnsi="宋体" w:eastAsia="宋体" w:cs="宋体"/>
                <w:b w:val="0"/>
                <w:bCs w:val="0"/>
                <w:color w:val="FF0000"/>
                <w:sz w:val="24"/>
                <w:highlight w:val="none"/>
                <w:lang w:val="en-US" w:eastAsia="zh-CN"/>
              </w:rPr>
              <w:t xml:space="preserve"> </w:t>
            </w:r>
            <w:r>
              <w:rPr>
                <w:rFonts w:hint="eastAsia" w:ascii="宋体" w:hAnsi="宋体" w:eastAsia="宋体" w:cs="宋体"/>
                <w:b w:val="0"/>
                <w:bCs w:val="0"/>
                <w:color w:val="FF0000"/>
                <w:sz w:val="24"/>
                <w:highlight w:val="none"/>
              </w:rPr>
              <w:t>时</w:t>
            </w:r>
            <w:r>
              <w:rPr>
                <w:rFonts w:hint="eastAsia" w:ascii="宋体" w:hAnsi="宋体" w:eastAsia="宋体" w:cs="宋体"/>
                <w:b w:val="0"/>
                <w:bCs w:val="0"/>
                <w:color w:val="FF0000"/>
                <w:sz w:val="24"/>
                <w:highlight w:val="none"/>
                <w:lang w:val="en-US" w:eastAsia="zh-CN"/>
              </w:rPr>
              <w:t>00</w:t>
            </w:r>
            <w:r>
              <w:rPr>
                <w:rFonts w:hint="eastAsia" w:ascii="宋体" w:hAnsi="宋体" w:eastAsia="宋体" w:cs="宋体"/>
                <w:b w:val="0"/>
                <w:bCs w:val="0"/>
                <w:color w:val="FF0000"/>
                <w:sz w:val="24"/>
                <w:highlight w:val="none"/>
              </w:rPr>
              <w:t>分</w:t>
            </w:r>
            <w:r>
              <w:rPr>
                <w:rFonts w:hint="eastAsia" w:ascii="宋体" w:hAnsi="宋体" w:eastAsia="宋体" w:cs="宋体"/>
                <w:b w:val="0"/>
                <w:bCs w:val="0"/>
                <w:color w:val="auto"/>
                <w:sz w:val="24"/>
                <w:highlight w:val="none"/>
              </w:rPr>
              <w:t>（时间如有变动，另行通知）</w:t>
            </w:r>
          </w:p>
        </w:tc>
      </w:tr>
      <w:tr w14:paraId="1F114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36" w:type="dxa"/>
            <w:vAlign w:val="center"/>
          </w:tcPr>
          <w:p w14:paraId="15B95095">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13</w:t>
            </w:r>
          </w:p>
        </w:tc>
        <w:tc>
          <w:tcPr>
            <w:tcW w:w="2160" w:type="dxa"/>
            <w:vAlign w:val="center"/>
          </w:tcPr>
          <w:p w14:paraId="3EEF568C">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磋商地点</w:t>
            </w:r>
          </w:p>
        </w:tc>
        <w:tc>
          <w:tcPr>
            <w:tcW w:w="6690" w:type="dxa"/>
            <w:vAlign w:val="center"/>
          </w:tcPr>
          <w:p w14:paraId="56FD0D65">
            <w:pPr>
              <w:jc w:val="left"/>
              <w:rPr>
                <w:rFonts w:hint="eastAsia" w:ascii="宋体" w:hAnsi="宋体" w:eastAsia="宋体" w:cs="宋体"/>
                <w:color w:val="auto"/>
                <w:sz w:val="24"/>
                <w:highlight w:val="none"/>
              </w:rPr>
            </w:pPr>
            <w:r>
              <w:rPr>
                <w:rFonts w:hint="eastAsia" w:ascii="宋体" w:hAnsi="宋体" w:eastAsia="宋体" w:cs="宋体"/>
                <w:color w:val="FF0000"/>
                <w:sz w:val="24"/>
                <w:highlight w:val="none"/>
                <w:lang w:eastAsia="zh-CN"/>
              </w:rPr>
              <w:t>洪湖市人民医院</w:t>
            </w:r>
            <w:r>
              <w:rPr>
                <w:rFonts w:hint="eastAsia" w:ascii="宋体" w:hAnsi="宋体" w:eastAsia="宋体" w:cs="宋体"/>
                <w:color w:val="FF0000"/>
                <w:sz w:val="24"/>
                <w:highlight w:val="none"/>
              </w:rPr>
              <w:t>行政综合楼</w:t>
            </w:r>
            <w:r>
              <w:rPr>
                <w:rFonts w:hint="eastAsia" w:ascii="宋体" w:hAnsi="宋体" w:eastAsia="宋体" w:cs="宋体"/>
                <w:color w:val="FF0000"/>
                <w:sz w:val="24"/>
                <w:highlight w:val="none"/>
                <w:lang w:val="en-US" w:eastAsia="zh-CN"/>
              </w:rPr>
              <w:t>201</w:t>
            </w:r>
            <w:r>
              <w:rPr>
                <w:rFonts w:hint="eastAsia" w:ascii="宋体" w:hAnsi="宋体" w:eastAsia="宋体" w:cs="宋体"/>
                <w:color w:val="FF0000"/>
                <w:sz w:val="24"/>
                <w:highlight w:val="none"/>
              </w:rPr>
              <w:t>会议室</w:t>
            </w:r>
          </w:p>
        </w:tc>
      </w:tr>
      <w:tr w14:paraId="7799F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536" w:type="dxa"/>
            <w:vAlign w:val="center"/>
          </w:tcPr>
          <w:p w14:paraId="7D722259">
            <w:pPr>
              <w:jc w:val="center"/>
              <w:rPr>
                <w:rFonts w:hint="eastAsia" w:ascii="宋体" w:hAnsi="宋体" w:eastAsia="宋体" w:cs="宋体"/>
                <w:sz w:val="24"/>
                <w:highlight w:val="none"/>
              </w:rPr>
            </w:pPr>
            <w:r>
              <w:rPr>
                <w:rFonts w:hint="eastAsia" w:ascii="宋体" w:hAnsi="宋体" w:eastAsia="宋体" w:cs="宋体"/>
                <w:sz w:val="24"/>
                <w:highlight w:val="none"/>
              </w:rPr>
              <w:t>14</w:t>
            </w:r>
          </w:p>
        </w:tc>
        <w:tc>
          <w:tcPr>
            <w:tcW w:w="2160" w:type="dxa"/>
            <w:vAlign w:val="center"/>
          </w:tcPr>
          <w:p w14:paraId="2D1F1AA1">
            <w:pPr>
              <w:jc w:val="center"/>
              <w:rPr>
                <w:rFonts w:hint="eastAsia" w:ascii="宋体" w:hAnsi="宋体" w:eastAsia="宋体" w:cs="宋体"/>
                <w:sz w:val="24"/>
                <w:highlight w:val="none"/>
              </w:rPr>
            </w:pPr>
            <w:r>
              <w:rPr>
                <w:rFonts w:hint="eastAsia" w:ascii="宋体" w:hAnsi="宋体" w:eastAsia="宋体" w:cs="宋体"/>
                <w:sz w:val="24"/>
                <w:highlight w:val="none"/>
              </w:rPr>
              <w:t>磋商响应文件的包装</w:t>
            </w:r>
          </w:p>
        </w:tc>
        <w:tc>
          <w:tcPr>
            <w:tcW w:w="6690" w:type="dxa"/>
            <w:vAlign w:val="center"/>
          </w:tcPr>
          <w:p w14:paraId="218A2557">
            <w:pPr>
              <w:tabs>
                <w:tab w:val="left" w:pos="2490"/>
              </w:tabs>
              <w:rPr>
                <w:rFonts w:hint="eastAsia" w:ascii="宋体" w:hAnsi="宋体" w:eastAsia="宋体" w:cs="宋体"/>
                <w:sz w:val="24"/>
                <w:highlight w:val="none"/>
              </w:rPr>
            </w:pPr>
            <w:r>
              <w:rPr>
                <w:rFonts w:hint="eastAsia" w:ascii="宋体" w:hAnsi="宋体" w:eastAsia="宋体" w:cs="宋体"/>
                <w:sz w:val="24"/>
                <w:highlight w:val="none"/>
              </w:rPr>
              <w:t>1、响应文件正本和副本一起密封于一个包装盒；</w:t>
            </w:r>
          </w:p>
          <w:p w14:paraId="7B83712B">
            <w:pPr>
              <w:tabs>
                <w:tab w:val="left" w:pos="2490"/>
              </w:tabs>
              <w:rPr>
                <w:rFonts w:hint="eastAsia" w:ascii="宋体" w:hAnsi="宋体" w:eastAsia="宋体" w:cs="宋体"/>
                <w:sz w:val="24"/>
                <w:highlight w:val="none"/>
              </w:rPr>
            </w:pPr>
            <w:r>
              <w:rPr>
                <w:rFonts w:hint="eastAsia" w:ascii="宋体" w:hAnsi="宋体" w:eastAsia="宋体" w:cs="宋体"/>
                <w:sz w:val="24"/>
                <w:highlight w:val="none"/>
              </w:rPr>
              <w:t>2、《报价一览表》单独密封提交；</w:t>
            </w:r>
          </w:p>
          <w:p w14:paraId="3F038D09">
            <w:pPr>
              <w:tabs>
                <w:tab w:val="left" w:pos="2490"/>
              </w:tabs>
              <w:rPr>
                <w:rFonts w:hint="eastAsia" w:ascii="宋体" w:hAnsi="宋体" w:eastAsia="宋体" w:cs="宋体"/>
                <w:sz w:val="24"/>
                <w:highlight w:val="none"/>
              </w:rPr>
            </w:pPr>
            <w:r>
              <w:rPr>
                <w:rFonts w:hint="eastAsia" w:ascii="宋体" w:hAnsi="宋体" w:eastAsia="宋体" w:cs="宋体"/>
                <w:sz w:val="24"/>
                <w:highlight w:val="none"/>
              </w:rPr>
              <w:t>3、《法定代表人证明书》或《法定代表人授权委托书》（不密封）</w:t>
            </w:r>
          </w:p>
          <w:p w14:paraId="59B28899">
            <w:pPr>
              <w:jc w:val="left"/>
              <w:rPr>
                <w:rFonts w:hint="eastAsia" w:ascii="宋体" w:hAnsi="宋体" w:eastAsia="宋体" w:cs="宋体"/>
                <w:sz w:val="24"/>
                <w:highlight w:val="none"/>
              </w:rPr>
            </w:pPr>
            <w:r>
              <w:rPr>
                <w:rFonts w:hint="eastAsia" w:ascii="宋体" w:hAnsi="宋体" w:eastAsia="宋体" w:cs="宋体"/>
                <w:sz w:val="24"/>
                <w:highlight w:val="none"/>
              </w:rPr>
              <w:t>以上文件均应按须知要求包装提交。</w:t>
            </w:r>
          </w:p>
        </w:tc>
      </w:tr>
      <w:tr w14:paraId="7076A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536" w:type="dxa"/>
            <w:vAlign w:val="center"/>
          </w:tcPr>
          <w:p w14:paraId="296E51B0">
            <w:pPr>
              <w:jc w:val="center"/>
              <w:rPr>
                <w:rFonts w:hint="eastAsia" w:ascii="宋体" w:hAnsi="宋体" w:eastAsia="宋体" w:cs="宋体"/>
                <w:color w:val="FF0000"/>
                <w:sz w:val="24"/>
                <w:highlight w:val="none"/>
              </w:rPr>
            </w:pPr>
            <w:r>
              <w:rPr>
                <w:rFonts w:hint="eastAsia" w:ascii="宋体" w:hAnsi="宋体" w:eastAsia="宋体" w:cs="宋体"/>
                <w:color w:val="auto"/>
                <w:sz w:val="24"/>
                <w:highlight w:val="none"/>
              </w:rPr>
              <w:t>15</w:t>
            </w:r>
          </w:p>
        </w:tc>
        <w:tc>
          <w:tcPr>
            <w:tcW w:w="2160" w:type="dxa"/>
            <w:vAlign w:val="center"/>
          </w:tcPr>
          <w:p w14:paraId="0556C416">
            <w:pPr>
              <w:jc w:val="center"/>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磋商响应文件的递交</w:t>
            </w:r>
          </w:p>
        </w:tc>
        <w:tc>
          <w:tcPr>
            <w:tcW w:w="6690" w:type="dxa"/>
            <w:vAlign w:val="center"/>
          </w:tcPr>
          <w:p w14:paraId="537CE0C1">
            <w:pPr>
              <w:ind w:left="241" w:hanging="241" w:hangingChars="100"/>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磋商响应文件及报价一览表按要求密封后于</w:t>
            </w:r>
            <w:r>
              <w:rPr>
                <w:rFonts w:hint="eastAsia" w:ascii="宋体" w:hAnsi="宋体" w:eastAsia="宋体" w:cs="宋体"/>
                <w:b/>
                <w:bCs/>
                <w:color w:val="FF0000"/>
                <w:sz w:val="24"/>
                <w:highlight w:val="none"/>
              </w:rPr>
              <w:t>202</w:t>
            </w:r>
            <w:r>
              <w:rPr>
                <w:rFonts w:hint="eastAsia" w:ascii="宋体" w:hAnsi="宋体" w:eastAsia="宋体" w:cs="宋体"/>
                <w:b/>
                <w:bCs/>
                <w:color w:val="FF0000"/>
                <w:sz w:val="24"/>
                <w:highlight w:val="none"/>
                <w:lang w:val="en-US" w:eastAsia="zh-CN"/>
              </w:rPr>
              <w:t>6</w:t>
            </w:r>
            <w:r>
              <w:rPr>
                <w:rFonts w:hint="eastAsia" w:ascii="宋体" w:hAnsi="宋体" w:eastAsia="宋体" w:cs="宋体"/>
                <w:b/>
                <w:bCs/>
                <w:color w:val="FF0000"/>
                <w:sz w:val="24"/>
                <w:highlight w:val="none"/>
              </w:rPr>
              <w:t>年</w:t>
            </w:r>
            <w:r>
              <w:rPr>
                <w:rFonts w:hint="eastAsia" w:ascii="宋体" w:hAnsi="宋体" w:eastAsia="宋体" w:cs="宋体"/>
                <w:b/>
                <w:bCs/>
                <w:color w:val="FF0000"/>
                <w:sz w:val="24"/>
                <w:highlight w:val="none"/>
                <w:lang w:val="en-US" w:eastAsia="zh-CN"/>
              </w:rPr>
              <w:t xml:space="preserve">  </w:t>
            </w:r>
            <w:r>
              <w:rPr>
                <w:rFonts w:hint="eastAsia" w:ascii="宋体" w:hAnsi="宋体" w:eastAsia="宋体" w:cs="宋体"/>
                <w:b/>
                <w:bCs/>
                <w:color w:val="FF0000"/>
                <w:sz w:val="24"/>
                <w:highlight w:val="none"/>
              </w:rPr>
              <w:t>月</w:t>
            </w:r>
            <w:r>
              <w:rPr>
                <w:rFonts w:hint="eastAsia" w:ascii="宋体" w:hAnsi="宋体" w:eastAsia="宋体" w:cs="宋体"/>
                <w:b/>
                <w:bCs/>
                <w:color w:val="FF0000"/>
                <w:sz w:val="24"/>
                <w:highlight w:val="none"/>
                <w:lang w:val="en-US" w:eastAsia="zh-CN"/>
              </w:rPr>
              <w:t xml:space="preserve">  </w:t>
            </w:r>
            <w:r>
              <w:rPr>
                <w:rFonts w:hint="eastAsia" w:ascii="宋体" w:hAnsi="宋体" w:eastAsia="宋体" w:cs="宋体"/>
                <w:b/>
                <w:bCs/>
                <w:color w:val="FF0000"/>
                <w:sz w:val="24"/>
                <w:highlight w:val="none"/>
              </w:rPr>
              <w:t>日</w:t>
            </w:r>
            <w:r>
              <w:rPr>
                <w:rFonts w:hint="eastAsia" w:ascii="宋体" w:hAnsi="宋体" w:eastAsia="宋体" w:cs="宋体"/>
                <w:b/>
                <w:bCs/>
                <w:color w:val="FF0000"/>
                <w:sz w:val="24"/>
                <w:highlight w:val="none"/>
                <w:lang w:val="en-US" w:eastAsia="zh-CN"/>
              </w:rPr>
              <w:t xml:space="preserve"> 10</w:t>
            </w:r>
            <w:r>
              <w:rPr>
                <w:rFonts w:hint="eastAsia" w:ascii="宋体" w:hAnsi="宋体" w:eastAsia="宋体" w:cs="宋体"/>
                <w:b/>
                <w:bCs/>
                <w:color w:val="FF0000"/>
                <w:sz w:val="24"/>
                <w:highlight w:val="none"/>
              </w:rPr>
              <w:t>时</w:t>
            </w:r>
            <w:r>
              <w:rPr>
                <w:rFonts w:hint="eastAsia" w:ascii="宋体" w:hAnsi="宋体" w:eastAsia="宋体" w:cs="宋体"/>
                <w:b/>
                <w:bCs/>
                <w:color w:val="FF0000"/>
                <w:sz w:val="24"/>
                <w:highlight w:val="none"/>
                <w:lang w:val="en-US" w:eastAsia="zh-CN"/>
              </w:rPr>
              <w:t>00</w:t>
            </w:r>
            <w:r>
              <w:rPr>
                <w:rFonts w:hint="eastAsia" w:ascii="宋体" w:hAnsi="宋体" w:eastAsia="宋体" w:cs="宋体"/>
                <w:b/>
                <w:bCs/>
                <w:color w:val="FF0000"/>
                <w:sz w:val="24"/>
                <w:highlight w:val="none"/>
              </w:rPr>
              <w:t>分前</w:t>
            </w:r>
            <w:r>
              <w:rPr>
                <w:rFonts w:hint="eastAsia" w:ascii="宋体" w:hAnsi="宋体" w:eastAsia="宋体" w:cs="宋体"/>
                <w:b/>
                <w:bCs/>
                <w:color w:val="auto"/>
                <w:sz w:val="24"/>
                <w:highlight w:val="none"/>
              </w:rPr>
              <w:t>提交并现场签到。</w:t>
            </w:r>
          </w:p>
        </w:tc>
      </w:tr>
      <w:tr w14:paraId="07231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536" w:type="dxa"/>
            <w:vAlign w:val="center"/>
          </w:tcPr>
          <w:p w14:paraId="456CCD95">
            <w:pPr>
              <w:jc w:val="center"/>
              <w:rPr>
                <w:rFonts w:hint="eastAsia" w:ascii="宋体" w:hAnsi="宋体" w:eastAsia="宋体" w:cs="宋体"/>
                <w:sz w:val="24"/>
                <w:highlight w:val="none"/>
              </w:rPr>
            </w:pPr>
            <w:r>
              <w:rPr>
                <w:rFonts w:hint="eastAsia" w:ascii="宋体" w:hAnsi="宋体" w:eastAsia="宋体" w:cs="宋体"/>
                <w:sz w:val="24"/>
                <w:highlight w:val="none"/>
              </w:rPr>
              <w:t>16</w:t>
            </w:r>
          </w:p>
        </w:tc>
        <w:tc>
          <w:tcPr>
            <w:tcW w:w="2160" w:type="dxa"/>
            <w:vAlign w:val="center"/>
          </w:tcPr>
          <w:p w14:paraId="06C88159">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构成磋商文件的其他文件</w:t>
            </w:r>
          </w:p>
        </w:tc>
        <w:tc>
          <w:tcPr>
            <w:tcW w:w="6690" w:type="dxa"/>
            <w:vAlign w:val="center"/>
          </w:tcPr>
          <w:p w14:paraId="6257E00C">
            <w:pPr>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磋商文件的澄清、修改书及有关补充通知为磋商文件的有效组成部分。</w:t>
            </w:r>
          </w:p>
        </w:tc>
      </w:tr>
      <w:tr w14:paraId="0B199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536" w:type="dxa"/>
            <w:vAlign w:val="center"/>
          </w:tcPr>
          <w:p w14:paraId="0E687473">
            <w:pPr>
              <w:jc w:val="center"/>
              <w:rPr>
                <w:rFonts w:hint="eastAsia" w:ascii="宋体" w:hAnsi="宋体" w:eastAsia="宋体" w:cs="宋体"/>
                <w:sz w:val="24"/>
                <w:highlight w:val="none"/>
              </w:rPr>
            </w:pPr>
            <w:r>
              <w:rPr>
                <w:rFonts w:hint="eastAsia" w:ascii="宋体" w:hAnsi="宋体" w:eastAsia="宋体" w:cs="宋体"/>
                <w:sz w:val="24"/>
                <w:highlight w:val="none"/>
              </w:rPr>
              <w:t>17</w:t>
            </w:r>
          </w:p>
        </w:tc>
        <w:tc>
          <w:tcPr>
            <w:tcW w:w="2160" w:type="dxa"/>
            <w:vAlign w:val="center"/>
          </w:tcPr>
          <w:p w14:paraId="1F31DD74">
            <w:pPr>
              <w:jc w:val="center"/>
              <w:rPr>
                <w:rFonts w:hint="eastAsia" w:ascii="宋体" w:hAnsi="宋体" w:eastAsia="宋体" w:cs="宋体"/>
                <w:sz w:val="24"/>
                <w:highlight w:val="none"/>
              </w:rPr>
            </w:pPr>
            <w:r>
              <w:rPr>
                <w:rFonts w:hint="eastAsia" w:ascii="宋体" w:hAnsi="宋体" w:eastAsia="宋体" w:cs="宋体"/>
                <w:sz w:val="24"/>
                <w:highlight w:val="none"/>
              </w:rPr>
              <w:t>报价方式</w:t>
            </w:r>
          </w:p>
        </w:tc>
        <w:tc>
          <w:tcPr>
            <w:tcW w:w="6690" w:type="dxa"/>
            <w:vAlign w:val="center"/>
          </w:tcPr>
          <w:p w14:paraId="2389D7F1">
            <w:pPr>
              <w:tabs>
                <w:tab w:val="left" w:pos="2490"/>
              </w:tabs>
              <w:rPr>
                <w:rFonts w:hint="eastAsia" w:ascii="宋体" w:hAnsi="宋体" w:eastAsia="宋体" w:cs="宋体"/>
                <w:sz w:val="24"/>
                <w:highlight w:val="none"/>
              </w:rPr>
            </w:pPr>
            <w:r>
              <w:rPr>
                <w:rFonts w:hint="eastAsia" w:ascii="宋体" w:hAnsi="宋体" w:eastAsia="宋体" w:cs="宋体"/>
                <w:sz w:val="24"/>
                <w:highlight w:val="none"/>
              </w:rPr>
              <w:t>本次报价采取两轮报价方式进行报价，首轮和二轮报价均为分开单独报价。首轮报价以密封的报价一览表为准进行报价，二轮报价通过现场磋商后报价，并签字确认，且二轮报价为本次竞争性磋商的最终报价。</w:t>
            </w:r>
          </w:p>
        </w:tc>
      </w:tr>
      <w:tr w14:paraId="27481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536" w:type="dxa"/>
            <w:vAlign w:val="center"/>
          </w:tcPr>
          <w:p w14:paraId="24842382">
            <w:pPr>
              <w:jc w:val="center"/>
              <w:rPr>
                <w:rFonts w:hint="eastAsia" w:ascii="宋体" w:hAnsi="宋体" w:eastAsia="宋体" w:cs="宋体"/>
                <w:sz w:val="24"/>
                <w:highlight w:val="none"/>
              </w:rPr>
            </w:pPr>
            <w:bookmarkStart w:id="10" w:name="_Toc18597"/>
            <w:bookmarkStart w:id="11" w:name="_Toc330797712"/>
            <w:r>
              <w:rPr>
                <w:rFonts w:hint="eastAsia" w:ascii="宋体" w:hAnsi="宋体" w:eastAsia="宋体" w:cs="宋体"/>
                <w:sz w:val="24"/>
                <w:highlight w:val="none"/>
              </w:rPr>
              <w:t>18</w:t>
            </w:r>
          </w:p>
        </w:tc>
        <w:tc>
          <w:tcPr>
            <w:tcW w:w="2160" w:type="dxa"/>
            <w:vAlign w:val="center"/>
          </w:tcPr>
          <w:p w14:paraId="6879C283">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质疑</w:t>
            </w:r>
          </w:p>
        </w:tc>
        <w:tc>
          <w:tcPr>
            <w:tcW w:w="6690" w:type="dxa"/>
            <w:vAlign w:val="center"/>
          </w:tcPr>
          <w:p w14:paraId="2A85C5DA">
            <w:pPr>
              <w:tabs>
                <w:tab w:val="left" w:pos="2490"/>
              </w:tabs>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供应商认为自己的权益受到损害的，可以在知道或者应知其权益受到损害之日起七个工作日内，向采购人纪检监察室提出质疑。</w:t>
            </w:r>
          </w:p>
          <w:p w14:paraId="2D532C95">
            <w:pPr>
              <w:tabs>
                <w:tab w:val="left" w:pos="2490"/>
              </w:tabs>
              <w:rPr>
                <w:rFonts w:hint="eastAsia" w:ascii="宋体" w:hAnsi="宋体" w:eastAsia="宋体" w:cs="宋体"/>
                <w:color w:val="auto"/>
                <w:sz w:val="24"/>
                <w:highlight w:val="none"/>
              </w:rPr>
            </w:pPr>
            <w:r>
              <w:rPr>
                <w:rFonts w:hint="eastAsia" w:ascii="宋体" w:hAnsi="宋体" w:eastAsia="宋体" w:cs="宋体"/>
                <w:color w:val="auto"/>
                <w:sz w:val="24"/>
                <w:highlight w:val="none"/>
              </w:rPr>
              <w:t>接收质疑函的方式：接收加盖单位公章的书面纸质疑函</w:t>
            </w:r>
          </w:p>
          <w:p w14:paraId="6D136893">
            <w:pPr>
              <w:tabs>
                <w:tab w:val="left" w:pos="2490"/>
              </w:tabs>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联系单位：</w:t>
            </w:r>
            <w:r>
              <w:rPr>
                <w:rFonts w:hint="eastAsia" w:ascii="宋体" w:hAnsi="宋体" w:eastAsia="宋体" w:cs="宋体"/>
                <w:color w:val="auto"/>
                <w:sz w:val="24"/>
                <w:highlight w:val="none"/>
                <w:lang w:eastAsia="zh-CN"/>
              </w:rPr>
              <w:t>洪湖市人民医院纪委监察办公室</w:t>
            </w:r>
          </w:p>
          <w:p w14:paraId="581CF324">
            <w:pPr>
              <w:tabs>
                <w:tab w:val="left" w:pos="2490"/>
              </w:tabs>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联系电话：</w:t>
            </w:r>
            <w:r>
              <w:rPr>
                <w:rFonts w:hint="eastAsia" w:ascii="宋体" w:hAnsi="宋体" w:eastAsia="宋体" w:cs="宋体"/>
                <w:color w:val="auto"/>
                <w:sz w:val="24"/>
                <w:highlight w:val="none"/>
                <w:lang w:val="en-US" w:eastAsia="zh-CN"/>
              </w:rPr>
              <w:t>0716-2425105</w:t>
            </w:r>
          </w:p>
          <w:p w14:paraId="6570F048">
            <w:pPr>
              <w:tabs>
                <w:tab w:val="left" w:pos="2490"/>
              </w:tabs>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通讯地址：</w:t>
            </w:r>
            <w:r>
              <w:rPr>
                <w:rFonts w:hint="eastAsia" w:ascii="宋体" w:hAnsi="宋体" w:eastAsia="宋体" w:cs="宋体"/>
                <w:color w:val="auto"/>
                <w:sz w:val="24"/>
                <w:highlight w:val="none"/>
                <w:lang w:eastAsia="zh-CN"/>
              </w:rPr>
              <w:t>洪湖市新堤街道洪林路</w:t>
            </w:r>
            <w:r>
              <w:rPr>
                <w:rFonts w:hint="eastAsia" w:ascii="宋体" w:hAnsi="宋体" w:eastAsia="宋体" w:cs="宋体"/>
                <w:color w:val="auto"/>
                <w:sz w:val="24"/>
                <w:highlight w:val="none"/>
                <w:lang w:val="en-US" w:eastAsia="zh-CN"/>
              </w:rPr>
              <w:t>22号</w:t>
            </w:r>
          </w:p>
        </w:tc>
      </w:tr>
      <w:bookmarkEnd w:id="10"/>
      <w:bookmarkEnd w:id="11"/>
    </w:tbl>
    <w:p w14:paraId="5FBBF0EC">
      <w:pPr>
        <w:spacing w:line="360" w:lineRule="auto"/>
        <w:ind w:firstLine="482" w:firstLineChars="200"/>
        <w:outlineLvl w:val="2"/>
        <w:rPr>
          <w:rFonts w:hint="eastAsia" w:ascii="宋体" w:hAnsi="宋体" w:eastAsia="宋体" w:cs="宋体"/>
          <w:b/>
          <w:sz w:val="24"/>
          <w:highlight w:val="none"/>
        </w:rPr>
      </w:pPr>
      <w:bookmarkStart w:id="12" w:name="_Toc21849"/>
      <w:bookmarkStart w:id="13" w:name="_Toc330797713"/>
      <w:r>
        <w:rPr>
          <w:rFonts w:hint="eastAsia" w:ascii="宋体" w:hAnsi="宋体" w:eastAsia="宋体" w:cs="宋体"/>
          <w:b/>
          <w:sz w:val="24"/>
          <w:highlight w:val="none"/>
        </w:rPr>
        <w:t>一、说  明</w:t>
      </w:r>
    </w:p>
    <w:p w14:paraId="4A375090">
      <w:pPr>
        <w:spacing w:line="360" w:lineRule="auto"/>
        <w:ind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1．适用范围</w:t>
      </w:r>
    </w:p>
    <w:p w14:paraId="178D8A03">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1.1本</w:t>
      </w:r>
      <w:r>
        <w:rPr>
          <w:rFonts w:hint="eastAsia" w:ascii="宋体" w:hAnsi="宋体" w:eastAsia="宋体" w:cs="宋体"/>
          <w:kern w:val="0"/>
          <w:sz w:val="24"/>
          <w:highlight w:val="none"/>
        </w:rPr>
        <w:t>磋商</w:t>
      </w:r>
      <w:r>
        <w:rPr>
          <w:rFonts w:hint="eastAsia" w:ascii="宋体" w:hAnsi="宋体" w:eastAsia="宋体" w:cs="宋体"/>
          <w:sz w:val="24"/>
          <w:highlight w:val="none"/>
        </w:rPr>
        <w:t>文件适用于本</w:t>
      </w:r>
      <w:r>
        <w:rPr>
          <w:rFonts w:hint="eastAsia" w:ascii="宋体" w:hAnsi="宋体" w:eastAsia="宋体" w:cs="宋体"/>
          <w:kern w:val="0"/>
          <w:sz w:val="24"/>
          <w:highlight w:val="none"/>
        </w:rPr>
        <w:t>磋商</w:t>
      </w:r>
      <w:r>
        <w:rPr>
          <w:rFonts w:hint="eastAsia" w:ascii="宋体" w:hAnsi="宋体" w:eastAsia="宋体" w:cs="宋体"/>
          <w:sz w:val="24"/>
          <w:highlight w:val="none"/>
        </w:rPr>
        <w:t>公告中所述项目的相关服务的采购。</w:t>
      </w:r>
    </w:p>
    <w:p w14:paraId="6C157178">
      <w:pPr>
        <w:spacing w:line="360" w:lineRule="auto"/>
        <w:ind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2. 定义</w:t>
      </w:r>
    </w:p>
    <w:p w14:paraId="591FE11C">
      <w:pPr>
        <w:spacing w:line="360" w:lineRule="auto"/>
        <w:ind w:firstLine="480" w:firstLineChars="200"/>
        <w:jc w:val="left"/>
        <w:rPr>
          <w:rFonts w:hint="eastAsia" w:ascii="宋体" w:hAnsi="宋体" w:eastAsia="宋体" w:cs="宋体"/>
          <w:sz w:val="24"/>
          <w:highlight w:val="none"/>
          <w:lang w:val="zh-CN"/>
        </w:rPr>
      </w:pPr>
      <w:r>
        <w:rPr>
          <w:rFonts w:hint="eastAsia" w:ascii="宋体" w:hAnsi="宋体" w:eastAsia="宋体" w:cs="宋体"/>
          <w:sz w:val="24"/>
          <w:highlight w:val="none"/>
        </w:rPr>
        <w:t>2.1“采购人”是指：</w:t>
      </w:r>
      <w:r>
        <w:rPr>
          <w:rFonts w:hint="eastAsia" w:ascii="宋体" w:hAnsi="宋体" w:eastAsia="宋体" w:cs="宋体"/>
          <w:sz w:val="24"/>
          <w:highlight w:val="none"/>
          <w:lang w:val="zh-CN"/>
        </w:rPr>
        <w:t>洪湖市人民医院</w:t>
      </w:r>
    </w:p>
    <w:p w14:paraId="66D48B47">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2.2合格的供应商：</w:t>
      </w:r>
    </w:p>
    <w:p w14:paraId="11B6F47B">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（1）符合《政府采购法》第二十二条规定的供应商；</w:t>
      </w:r>
    </w:p>
    <w:p w14:paraId="4586C26B">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（2）符合磋商公告规定的资格要求，有能力提供服务的供应商。</w:t>
      </w:r>
    </w:p>
    <w:p w14:paraId="520619AF">
      <w:pPr>
        <w:tabs>
          <w:tab w:val="left" w:pos="420"/>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2.3“成交供应商”是指经评审小组评审，授予合同的供应商。</w:t>
      </w:r>
    </w:p>
    <w:p w14:paraId="2C2C80DB">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2.4“磋商地点”是指：</w:t>
      </w:r>
      <w:r>
        <w:rPr>
          <w:rFonts w:hint="eastAsia" w:ascii="宋体" w:hAnsi="宋体" w:eastAsia="宋体" w:cs="宋体"/>
          <w:color w:val="auto"/>
          <w:kern w:val="0"/>
          <w:sz w:val="24"/>
          <w:highlight w:val="none"/>
          <w:lang w:eastAsia="zh-CN"/>
        </w:rPr>
        <w:t>湖北省洪湖市人民医院行政楼</w:t>
      </w:r>
      <w:r>
        <w:rPr>
          <w:rFonts w:hint="eastAsia" w:ascii="宋体" w:hAnsi="宋体" w:eastAsia="宋体" w:cs="宋体"/>
          <w:color w:val="auto"/>
          <w:kern w:val="0"/>
          <w:sz w:val="24"/>
          <w:highlight w:val="none"/>
          <w:lang w:val="en-US" w:eastAsia="zh-CN"/>
        </w:rPr>
        <w:t>2楼会议室</w:t>
      </w:r>
      <w:r>
        <w:rPr>
          <w:rFonts w:hint="eastAsia" w:ascii="宋体" w:hAnsi="宋体" w:eastAsia="宋体" w:cs="宋体"/>
          <w:sz w:val="24"/>
          <w:highlight w:val="none"/>
        </w:rPr>
        <w:t>。</w:t>
      </w:r>
    </w:p>
    <w:p w14:paraId="6DA4C952">
      <w:pPr>
        <w:autoSpaceDE w:val="0"/>
        <w:autoSpaceDN w:val="0"/>
        <w:adjustRightInd w:val="0"/>
        <w:spacing w:line="360" w:lineRule="auto"/>
        <w:ind w:firstLine="482" w:firstLineChars="200"/>
        <w:jc w:val="left"/>
        <w:rPr>
          <w:rFonts w:hint="eastAsia" w:ascii="宋体" w:hAnsi="宋体" w:eastAsia="宋体" w:cs="宋体"/>
          <w:color w:val="0000FF"/>
          <w:sz w:val="24"/>
          <w:highlight w:val="none"/>
          <w:lang w:val="zh-CN"/>
        </w:rPr>
      </w:pPr>
      <w:r>
        <w:rPr>
          <w:rFonts w:hint="eastAsia" w:ascii="宋体" w:hAnsi="宋体" w:eastAsia="宋体" w:cs="宋体"/>
          <w:b/>
          <w:sz w:val="24"/>
          <w:highlight w:val="none"/>
        </w:rPr>
        <w:t>3. 合格的货物和服务</w:t>
      </w:r>
    </w:p>
    <w:p w14:paraId="18813BCC">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3.1“货物”是指</w:t>
      </w:r>
      <w:r>
        <w:rPr>
          <w:rFonts w:hint="eastAsia" w:ascii="宋体" w:hAnsi="宋体" w:eastAsia="宋体" w:cs="宋体"/>
          <w:sz w:val="24"/>
          <w:highlight w:val="none"/>
          <w:lang w:val="zh-CN"/>
        </w:rPr>
        <w:t>制造商或经销商的货物必须是合法生产的符合国家或国际有关标准要求，并能满足采购单位对货物的各项技术要求。</w:t>
      </w:r>
    </w:p>
    <w:p w14:paraId="5D2FF1E4">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3.2“服务”是指除货物以外的须承担的运输、技术支持、培训以及其它类似附加服务的义务。</w:t>
      </w:r>
    </w:p>
    <w:p w14:paraId="70C0CD7B">
      <w:pPr>
        <w:spacing w:line="360" w:lineRule="auto"/>
        <w:ind w:firstLine="241" w:firstLineChars="100"/>
        <w:jc w:val="left"/>
        <w:rPr>
          <w:rFonts w:hint="eastAsia" w:ascii="宋体" w:hAnsi="宋体" w:eastAsia="宋体" w:cs="宋体"/>
          <w:sz w:val="24"/>
          <w:highlight w:val="none"/>
        </w:rPr>
      </w:pPr>
      <w:r>
        <w:rPr>
          <w:rFonts w:hint="eastAsia" w:ascii="宋体" w:hAnsi="宋体" w:eastAsia="宋体" w:cs="宋体"/>
          <w:b/>
          <w:sz w:val="24"/>
          <w:highlight w:val="none"/>
        </w:rPr>
        <w:t>4.特别说明：</w:t>
      </w:r>
    </w:p>
    <w:p w14:paraId="7DDD3695">
      <w:pPr>
        <w:spacing w:line="360" w:lineRule="auto"/>
        <w:ind w:firstLine="240" w:firstLineChars="100"/>
        <w:jc w:val="left"/>
        <w:rPr>
          <w:rFonts w:hint="eastAsia" w:ascii="宋体" w:hAnsi="宋体" w:eastAsia="宋体" w:cs="宋体"/>
          <w:sz w:val="24"/>
          <w:highlight w:val="none"/>
        </w:rPr>
      </w:pPr>
      <w:r>
        <w:rPr>
          <w:rFonts w:hint="eastAsia" w:ascii="宋体" w:hAnsi="宋体" w:eastAsia="宋体" w:cs="宋体"/>
          <w:sz w:val="24"/>
          <w:highlight w:val="none"/>
        </w:rPr>
        <w:t>（1）本项目不接受联合体参与竞争。</w:t>
      </w:r>
    </w:p>
    <w:p w14:paraId="704B72CD">
      <w:pPr>
        <w:widowControl/>
        <w:spacing w:line="360" w:lineRule="auto"/>
        <w:ind w:firstLine="240" w:firstLineChars="100"/>
        <w:jc w:val="left"/>
        <w:rPr>
          <w:rFonts w:hint="eastAsia" w:ascii="宋体" w:hAnsi="宋体" w:eastAsia="宋体" w:cs="宋体"/>
          <w:sz w:val="24"/>
          <w:highlight w:val="none"/>
        </w:rPr>
      </w:pPr>
      <w:r>
        <w:rPr>
          <w:rFonts w:hint="eastAsia" w:ascii="宋体" w:hAnsi="宋体" w:eastAsia="宋体" w:cs="宋体"/>
          <w:sz w:val="24"/>
          <w:highlight w:val="none"/>
        </w:rPr>
        <w:t>（2）与采购人存在利害关系可能影响招标公正性的法人、其他组织或者个人，不得参加投标。单位负责人为同一人或者存在控股、管理关系的不同单位，不得参加同一标段投标或者未划分标段的同一招标项目投标。</w:t>
      </w:r>
    </w:p>
    <w:p w14:paraId="3610DADB">
      <w:pPr>
        <w:pStyle w:val="12"/>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（3）</w:t>
      </w:r>
      <w:r>
        <w:rPr>
          <w:rFonts w:hint="eastAsia" w:ascii="宋体" w:hAnsi="宋体" w:eastAsia="宋体" w:cs="宋体"/>
          <w:sz w:val="24"/>
          <w:szCs w:val="24"/>
          <w:highlight w:val="none"/>
          <w:u w:val="single"/>
        </w:rPr>
        <w:t>供应商所使用的资格、信誉、荣誉、业绩与企业认证必须为本法人所拥有</w:t>
      </w:r>
      <w:r>
        <w:rPr>
          <w:rFonts w:hint="eastAsia" w:ascii="宋体" w:hAnsi="宋体" w:eastAsia="宋体" w:cs="宋体"/>
          <w:sz w:val="24"/>
          <w:szCs w:val="24"/>
          <w:highlight w:val="none"/>
        </w:rPr>
        <w:t>，所使用的采购项目实施人员必须为本公司正式员工。</w:t>
      </w:r>
    </w:p>
    <w:p w14:paraId="06BF1CA7">
      <w:pPr>
        <w:pStyle w:val="12"/>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（4）供应商应仔细阅读</w:t>
      </w:r>
      <w:r>
        <w:rPr>
          <w:rFonts w:hint="eastAsia" w:ascii="宋体" w:hAnsi="宋体" w:eastAsia="宋体" w:cs="宋体"/>
          <w:kern w:val="0"/>
          <w:sz w:val="24"/>
          <w:szCs w:val="24"/>
          <w:highlight w:val="none"/>
        </w:rPr>
        <w:t>磋商</w:t>
      </w:r>
      <w:r>
        <w:rPr>
          <w:rFonts w:hint="eastAsia" w:ascii="宋体" w:hAnsi="宋体" w:eastAsia="宋体" w:cs="宋体"/>
          <w:sz w:val="24"/>
          <w:szCs w:val="24"/>
          <w:highlight w:val="none"/>
        </w:rPr>
        <w:t>文件的所有内容，按照</w:t>
      </w:r>
      <w:r>
        <w:rPr>
          <w:rFonts w:hint="eastAsia" w:ascii="宋体" w:hAnsi="宋体" w:eastAsia="宋体" w:cs="宋体"/>
          <w:kern w:val="0"/>
          <w:sz w:val="24"/>
          <w:szCs w:val="24"/>
          <w:highlight w:val="none"/>
        </w:rPr>
        <w:t>磋商</w:t>
      </w:r>
      <w:r>
        <w:rPr>
          <w:rFonts w:hint="eastAsia" w:ascii="宋体" w:hAnsi="宋体" w:eastAsia="宋体" w:cs="宋体"/>
          <w:sz w:val="24"/>
          <w:szCs w:val="24"/>
          <w:highlight w:val="none"/>
        </w:rPr>
        <w:t>文件的要求提交</w:t>
      </w:r>
      <w:r>
        <w:rPr>
          <w:rFonts w:hint="eastAsia" w:ascii="宋体" w:hAnsi="宋体" w:eastAsia="宋体" w:cs="宋体"/>
          <w:kern w:val="0"/>
          <w:sz w:val="24"/>
          <w:szCs w:val="24"/>
          <w:highlight w:val="none"/>
        </w:rPr>
        <w:t>磋商响应</w:t>
      </w:r>
      <w:r>
        <w:rPr>
          <w:rFonts w:hint="eastAsia" w:ascii="宋体" w:hAnsi="宋体" w:eastAsia="宋体" w:cs="宋体"/>
          <w:sz w:val="24"/>
          <w:szCs w:val="24"/>
          <w:highlight w:val="none"/>
        </w:rPr>
        <w:t>文件，并对所提供的全部资料的真实性承担法律责任。</w:t>
      </w:r>
    </w:p>
    <w:p w14:paraId="5C536F64">
      <w:pPr>
        <w:pStyle w:val="12"/>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（5）供应商在磋商活动中提供任何虚假材料，其磋商无效，并报监管部门查处；成交后发现的，成交供应商须依照《</w:t>
      </w:r>
      <w:bookmarkStart w:id="14" w:name="OLE_LINK2"/>
      <w:bookmarkStart w:id="15" w:name="OLE_LINK3"/>
      <w:r>
        <w:rPr>
          <w:rFonts w:hint="eastAsia" w:ascii="宋体" w:hAnsi="宋体" w:eastAsia="宋体" w:cs="宋体"/>
          <w:sz w:val="24"/>
          <w:szCs w:val="24"/>
          <w:highlight w:val="none"/>
        </w:rPr>
        <w:t>中华人民共和国消费者权益保护法</w:t>
      </w:r>
      <w:bookmarkEnd w:id="14"/>
      <w:bookmarkEnd w:id="15"/>
      <w:r>
        <w:rPr>
          <w:rFonts w:hint="eastAsia" w:ascii="宋体" w:hAnsi="宋体" w:eastAsia="宋体" w:cs="宋体"/>
          <w:sz w:val="24"/>
          <w:szCs w:val="24"/>
          <w:highlight w:val="none"/>
        </w:rPr>
        <w:t>》第49条之规定双倍赔偿采购人，且民事赔偿并不免除违法供应商的行政与刑事责任。</w:t>
      </w:r>
    </w:p>
    <w:p w14:paraId="41D99B90">
      <w:pPr>
        <w:spacing w:line="360" w:lineRule="auto"/>
        <w:ind w:left="-4" w:leftChars="-2" w:firstLine="482" w:firstLineChars="200"/>
        <w:outlineLvl w:val="2"/>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二、磋商文件</w:t>
      </w:r>
      <w:bookmarkEnd w:id="12"/>
      <w:bookmarkEnd w:id="13"/>
    </w:p>
    <w:p w14:paraId="06D8A4AC">
      <w:pPr>
        <w:spacing w:line="360" w:lineRule="auto"/>
        <w:ind w:left="-4" w:leftChars="-2"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5. 磋商文件的构成</w:t>
      </w:r>
    </w:p>
    <w:p w14:paraId="4504E9BF">
      <w:pPr>
        <w:spacing w:line="360" w:lineRule="auto"/>
        <w:ind w:left="-4" w:leftChars="-2"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5.1磋商文件由下列文件以及在磋商过程中发出的修正和补充文件组成：</w:t>
      </w:r>
    </w:p>
    <w:p w14:paraId="43B4CB09">
      <w:pPr>
        <w:spacing w:line="360" w:lineRule="auto"/>
        <w:ind w:left="-4" w:leftChars="-2"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（1）磋商公告</w:t>
      </w:r>
    </w:p>
    <w:p w14:paraId="6706E3FA">
      <w:pPr>
        <w:spacing w:line="360" w:lineRule="auto"/>
        <w:ind w:left="-4" w:leftChars="-2"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（2）磋商须知</w:t>
      </w:r>
    </w:p>
    <w:p w14:paraId="05A78C83">
      <w:pPr>
        <w:spacing w:line="360" w:lineRule="auto"/>
        <w:ind w:left="-4" w:leftChars="-2" w:firstLine="480" w:firstLineChars="200"/>
        <w:rPr>
          <w:rFonts w:hint="eastAsia" w:ascii="宋体" w:hAnsi="宋体" w:eastAsia="宋体" w:cs="宋体"/>
          <w:color w:val="000000" w:themeColor="text1"/>
          <w:sz w:val="24"/>
          <w:highlight w:val="none"/>
          <w:lang w:val="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（3）</w:t>
      </w:r>
      <w:r>
        <w:rPr>
          <w:rFonts w:hint="eastAsia" w:ascii="宋体" w:hAnsi="宋体" w:eastAsia="宋体" w:cs="宋体"/>
          <w:color w:val="000000" w:themeColor="text1"/>
          <w:sz w:val="24"/>
          <w:highlight w:val="none"/>
          <w:lang w:val="zh-CN"/>
          <w14:textFill>
            <w14:solidFill>
              <w14:schemeClr w14:val="tx1"/>
            </w14:solidFill>
          </w14:textFill>
        </w:rPr>
        <w:t>采购需求及要求</w:t>
      </w:r>
    </w:p>
    <w:p w14:paraId="7BC21756">
      <w:pPr>
        <w:spacing w:line="360" w:lineRule="auto"/>
        <w:ind w:left="-4" w:leftChars="-2"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（4）</w:t>
      </w:r>
      <w:r>
        <w:rPr>
          <w:rFonts w:hint="eastAsia" w:ascii="宋体" w:hAnsi="宋体" w:eastAsia="宋体" w:cs="宋体"/>
          <w:color w:val="000000" w:themeColor="text1"/>
          <w:kern w:val="0"/>
          <w:sz w:val="24"/>
          <w:highlight w:val="none"/>
          <w14:textFill>
            <w14:solidFill>
              <w14:schemeClr w14:val="tx1"/>
            </w14:solidFill>
          </w14:textFill>
        </w:rPr>
        <w:t>评审办法及标准</w:t>
      </w:r>
    </w:p>
    <w:p w14:paraId="0FD0C425">
      <w:pPr>
        <w:spacing w:line="360" w:lineRule="auto"/>
        <w:ind w:left="-4" w:leftChars="-2"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（5）合同参考格式</w:t>
      </w:r>
    </w:p>
    <w:p w14:paraId="5546797E">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（6）</w:t>
      </w:r>
      <w:r>
        <w:rPr>
          <w:rFonts w:hint="eastAsia" w:ascii="宋体" w:hAnsi="宋体" w:eastAsia="宋体" w:cs="宋体"/>
          <w:color w:val="000000" w:themeColor="text1"/>
          <w:kern w:val="0"/>
          <w:sz w:val="24"/>
          <w:highlight w:val="none"/>
          <w14:textFill>
            <w14:solidFill>
              <w14:schemeClr w14:val="tx1"/>
            </w14:solidFill>
          </w14:textFill>
        </w:rPr>
        <w:t>磋商响应</w:t>
      </w:r>
      <w:r>
        <w:rPr>
          <w:rFonts w:hint="eastAsia" w:ascii="宋体" w:hAnsi="宋体" w:eastAsia="宋体" w:cs="宋体"/>
          <w:color w:val="000000" w:themeColor="text1"/>
          <w:sz w:val="24"/>
          <w:highlight w:val="none"/>
          <w14:textFill>
            <w14:solidFill>
              <w14:schemeClr w14:val="tx1"/>
            </w14:solidFill>
          </w14:textFill>
        </w:rPr>
        <w:t>文件格式</w:t>
      </w:r>
    </w:p>
    <w:p w14:paraId="1035BE34">
      <w:pPr>
        <w:spacing w:line="360" w:lineRule="auto"/>
        <w:ind w:left="-4" w:leftChars="-2" w:firstLine="480" w:firstLineChars="200"/>
        <w:rPr>
          <w:rFonts w:hint="eastAsia" w:ascii="宋体" w:hAnsi="宋体" w:eastAsia="宋体" w:cs="宋体"/>
          <w:sz w:val="24"/>
          <w:highlight w:val="none"/>
        </w:rPr>
      </w:pPr>
      <w:r>
        <w:rPr>
          <w:rFonts w:hint="eastAsia" w:ascii="宋体" w:hAnsi="宋体" w:eastAsia="宋体" w:cs="宋体"/>
          <w:sz w:val="24"/>
          <w:highlight w:val="none"/>
        </w:rPr>
        <w:t>5.2 供应商应认真阅读磋商文件中所有的事项、格式、条款和技术规范、参数及要求等。供应商没有按照磋商文件要求提交全部资料，或者磋商没有对磋商文件在各方面都做出实质性响应是供应商的风险，有可能导致其磋商被拒绝，或被认定为无效磋商或被确定为磋商无效。</w:t>
      </w:r>
    </w:p>
    <w:p w14:paraId="03294091">
      <w:pPr>
        <w:numPr>
          <w:ilvl w:val="0"/>
          <w:numId w:val="1"/>
        </w:numPr>
        <w:spacing w:line="360" w:lineRule="auto"/>
        <w:ind w:left="-4" w:leftChars="-2" w:firstLine="482" w:firstLineChars="200"/>
        <w:outlineLvl w:val="2"/>
        <w:rPr>
          <w:rFonts w:hint="eastAsia" w:ascii="宋体" w:hAnsi="宋体" w:eastAsia="宋体" w:cs="宋体"/>
          <w:b/>
          <w:color w:val="000000" w:themeColor="text1"/>
          <w:sz w:val="24"/>
          <w:highlight w:val="none"/>
          <w14:textFill>
            <w14:solidFill>
              <w14:schemeClr w14:val="tx1"/>
            </w14:solidFill>
          </w14:textFill>
        </w:rPr>
      </w:pPr>
      <w:bookmarkStart w:id="16" w:name="_Toc330797714"/>
      <w:bookmarkStart w:id="17" w:name="_Toc22515"/>
      <w:r>
        <w:rPr>
          <w:rFonts w:hint="eastAsia" w:ascii="宋体" w:hAnsi="宋体" w:eastAsia="宋体" w:cs="宋体"/>
          <w:b/>
          <w:color w:val="000000" w:themeColor="text1"/>
          <w:sz w:val="24"/>
          <w:highlight w:val="none"/>
          <w14:textFill>
            <w14:solidFill>
              <w14:schemeClr w14:val="tx1"/>
            </w14:solidFill>
          </w14:textFill>
        </w:rPr>
        <w:t>磋商响应文件的编制和数量</w:t>
      </w:r>
      <w:bookmarkEnd w:id="16"/>
      <w:bookmarkEnd w:id="17"/>
    </w:p>
    <w:p w14:paraId="0921A695">
      <w:pPr>
        <w:spacing w:line="360" w:lineRule="auto"/>
        <w:ind w:left="-4" w:leftChars="-2" w:firstLine="482" w:firstLineChars="200"/>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6．磋商响应文件的构成</w:t>
      </w:r>
    </w:p>
    <w:p w14:paraId="5F78B08F">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6.1供应商编制的响应文件应包括的内容详见本文件第六章要求。响应文件目录及内容每页须按顺序编写页码。</w:t>
      </w:r>
    </w:p>
    <w:p w14:paraId="31124794">
      <w:pPr>
        <w:spacing w:line="360" w:lineRule="auto"/>
        <w:ind w:firstLine="482" w:firstLineChars="200"/>
        <w:rPr>
          <w:rFonts w:hint="eastAsia" w:ascii="宋体" w:hAnsi="宋体" w:eastAsia="宋体" w:cs="宋体"/>
          <w:b/>
          <w:color w:val="FF0000"/>
          <w:sz w:val="24"/>
          <w:highlight w:val="none"/>
        </w:rPr>
      </w:pPr>
      <w:r>
        <w:rPr>
          <w:rFonts w:hint="eastAsia" w:ascii="宋体" w:hAnsi="宋体" w:eastAsia="宋体" w:cs="宋体"/>
          <w:b/>
          <w:color w:val="000000" w:themeColor="text1"/>
          <w:sz w:val="24"/>
          <w:highlight w:val="none"/>
          <w14:textFill>
            <w14:solidFill>
              <w14:schemeClr w14:val="tx1"/>
            </w14:solidFill>
          </w14:textFill>
        </w:rPr>
        <w:t>7. 磋商响应文件编制</w:t>
      </w:r>
    </w:p>
    <w:p w14:paraId="276CB8B5">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7.1供应商应当对</w:t>
      </w:r>
      <w:r>
        <w:rPr>
          <w:rFonts w:hint="eastAsia" w:ascii="宋体" w:hAnsi="宋体" w:eastAsia="宋体" w:cs="宋体"/>
          <w:kern w:val="0"/>
          <w:sz w:val="24"/>
          <w:highlight w:val="none"/>
        </w:rPr>
        <w:t>磋商响应</w:t>
      </w:r>
      <w:r>
        <w:rPr>
          <w:rFonts w:hint="eastAsia" w:ascii="宋体" w:hAnsi="宋体" w:eastAsia="宋体" w:cs="宋体"/>
          <w:sz w:val="24"/>
          <w:highlight w:val="none"/>
        </w:rPr>
        <w:t>文件进行</w:t>
      </w:r>
      <w:r>
        <w:rPr>
          <w:rFonts w:hint="eastAsia" w:ascii="宋体" w:hAnsi="宋体" w:eastAsia="宋体" w:cs="宋体"/>
          <w:b/>
          <w:bCs/>
          <w:sz w:val="24"/>
          <w:highlight w:val="none"/>
        </w:rPr>
        <w:t>胶装装订</w:t>
      </w:r>
      <w:r>
        <w:rPr>
          <w:rFonts w:hint="eastAsia" w:ascii="宋体" w:hAnsi="宋体" w:eastAsia="宋体" w:cs="宋体"/>
          <w:sz w:val="24"/>
          <w:highlight w:val="none"/>
        </w:rPr>
        <w:t>，对未经装订的响应文件可能发生的文件散落或缺损，由此产生的后果其责任由供应商承担。</w:t>
      </w:r>
    </w:p>
    <w:p w14:paraId="7B19F376">
      <w:pPr>
        <w:spacing w:line="360" w:lineRule="auto"/>
        <w:ind w:left="-4" w:leftChars="-2" w:firstLine="480" w:firstLineChars="200"/>
        <w:rPr>
          <w:rFonts w:hint="eastAsia" w:ascii="宋体" w:hAnsi="宋体" w:eastAsia="宋体" w:cs="宋体"/>
          <w:sz w:val="24"/>
          <w:highlight w:val="none"/>
        </w:rPr>
      </w:pPr>
      <w:r>
        <w:rPr>
          <w:rFonts w:hint="eastAsia" w:ascii="宋体" w:hAnsi="宋体" w:eastAsia="宋体" w:cs="宋体"/>
          <w:sz w:val="24"/>
          <w:highlight w:val="none"/>
        </w:rPr>
        <w:t>7.2供应商应完整地填写</w:t>
      </w:r>
      <w:r>
        <w:rPr>
          <w:rFonts w:hint="eastAsia" w:ascii="宋体" w:hAnsi="宋体" w:eastAsia="宋体" w:cs="宋体"/>
          <w:kern w:val="0"/>
          <w:sz w:val="24"/>
          <w:highlight w:val="none"/>
        </w:rPr>
        <w:t>磋商</w:t>
      </w:r>
      <w:r>
        <w:rPr>
          <w:rFonts w:hint="eastAsia" w:ascii="宋体" w:hAnsi="宋体" w:eastAsia="宋体" w:cs="宋体"/>
          <w:sz w:val="24"/>
          <w:highlight w:val="none"/>
        </w:rPr>
        <w:t>文件中应提供规定的所有内容。</w:t>
      </w:r>
    </w:p>
    <w:p w14:paraId="02EE2C9E">
      <w:pPr>
        <w:spacing w:line="360" w:lineRule="auto"/>
        <w:ind w:left="-4" w:leftChars="-2" w:firstLine="480" w:firstLineChars="200"/>
        <w:rPr>
          <w:rFonts w:hint="eastAsia" w:ascii="宋体" w:hAnsi="宋体" w:eastAsia="宋体" w:cs="宋体"/>
          <w:sz w:val="24"/>
          <w:highlight w:val="none"/>
        </w:rPr>
      </w:pPr>
      <w:r>
        <w:rPr>
          <w:rFonts w:hint="eastAsia" w:ascii="宋体" w:hAnsi="宋体" w:eastAsia="宋体" w:cs="宋体"/>
          <w:sz w:val="24"/>
          <w:highlight w:val="none"/>
        </w:rPr>
        <w:t>7.3供应商必须保证</w:t>
      </w:r>
      <w:r>
        <w:rPr>
          <w:rFonts w:hint="eastAsia" w:ascii="宋体" w:hAnsi="宋体" w:eastAsia="宋体" w:cs="宋体"/>
          <w:kern w:val="0"/>
          <w:sz w:val="24"/>
          <w:highlight w:val="none"/>
        </w:rPr>
        <w:t>磋商响应</w:t>
      </w:r>
      <w:r>
        <w:rPr>
          <w:rFonts w:hint="eastAsia" w:ascii="宋体" w:hAnsi="宋体" w:eastAsia="宋体" w:cs="宋体"/>
          <w:sz w:val="24"/>
          <w:highlight w:val="none"/>
        </w:rPr>
        <w:t>文件所提供的全部资料真实可靠，并接受采购人对其中任何资料进一步核实的要求。</w:t>
      </w:r>
    </w:p>
    <w:p w14:paraId="0E4BC35D">
      <w:pPr>
        <w:spacing w:line="360" w:lineRule="auto"/>
        <w:ind w:left="-4" w:leftChars="-2" w:firstLine="480" w:firstLineChars="200"/>
        <w:rPr>
          <w:rFonts w:hint="eastAsia" w:ascii="宋体" w:hAnsi="宋体" w:eastAsia="宋体" w:cs="宋体"/>
          <w:sz w:val="24"/>
          <w:highlight w:val="none"/>
        </w:rPr>
      </w:pPr>
      <w:r>
        <w:rPr>
          <w:rFonts w:hint="eastAsia" w:ascii="宋体" w:hAnsi="宋体" w:eastAsia="宋体" w:cs="宋体"/>
          <w:sz w:val="24"/>
          <w:highlight w:val="none"/>
        </w:rPr>
        <w:t>7.4如果因为供应商</w:t>
      </w:r>
      <w:r>
        <w:rPr>
          <w:rFonts w:hint="eastAsia" w:ascii="宋体" w:hAnsi="宋体" w:eastAsia="宋体" w:cs="宋体"/>
          <w:kern w:val="0"/>
          <w:sz w:val="24"/>
          <w:highlight w:val="none"/>
        </w:rPr>
        <w:t>磋商响应</w:t>
      </w:r>
      <w:r>
        <w:rPr>
          <w:rFonts w:hint="eastAsia" w:ascii="宋体" w:hAnsi="宋体" w:eastAsia="宋体" w:cs="宋体"/>
          <w:sz w:val="24"/>
          <w:highlight w:val="none"/>
        </w:rPr>
        <w:t>文件填报的内容不详，或没有提供</w:t>
      </w:r>
      <w:r>
        <w:rPr>
          <w:rFonts w:hint="eastAsia" w:ascii="宋体" w:hAnsi="宋体" w:eastAsia="宋体" w:cs="宋体"/>
          <w:kern w:val="0"/>
          <w:sz w:val="24"/>
          <w:highlight w:val="none"/>
        </w:rPr>
        <w:t>磋商</w:t>
      </w:r>
      <w:r>
        <w:rPr>
          <w:rFonts w:hint="eastAsia" w:ascii="宋体" w:hAnsi="宋体" w:eastAsia="宋体" w:cs="宋体"/>
          <w:sz w:val="24"/>
          <w:highlight w:val="none"/>
        </w:rPr>
        <w:t>文件中所要求的全部资料及数据，由此造成的后果，其责任由供应商承担。</w:t>
      </w:r>
    </w:p>
    <w:p w14:paraId="3BD24476">
      <w:pPr>
        <w:spacing w:line="360" w:lineRule="auto"/>
        <w:ind w:left="-4" w:leftChars="-2" w:firstLine="480" w:firstLineChars="200"/>
        <w:rPr>
          <w:rFonts w:hint="eastAsia" w:ascii="宋体" w:hAnsi="宋体" w:eastAsia="宋体" w:cs="宋体"/>
          <w:sz w:val="24"/>
          <w:highlight w:val="none"/>
        </w:rPr>
      </w:pPr>
      <w:r>
        <w:rPr>
          <w:rFonts w:hint="eastAsia" w:ascii="宋体" w:hAnsi="宋体" w:eastAsia="宋体" w:cs="宋体"/>
          <w:sz w:val="24"/>
          <w:highlight w:val="none"/>
        </w:rPr>
        <w:t>7.5磋商响应文件中涉及到公司名称及公司证件的必须加盖公章。</w:t>
      </w:r>
    </w:p>
    <w:p w14:paraId="5A052541">
      <w:pPr>
        <w:spacing w:line="360" w:lineRule="auto"/>
        <w:ind w:left="-4" w:leftChars="-2" w:firstLine="480" w:firstLineChars="200"/>
        <w:rPr>
          <w:rFonts w:hint="eastAsia" w:ascii="宋体" w:hAnsi="宋体" w:eastAsia="宋体" w:cs="宋体"/>
          <w:sz w:val="24"/>
          <w:highlight w:val="none"/>
        </w:rPr>
      </w:pPr>
      <w:r>
        <w:rPr>
          <w:rFonts w:hint="eastAsia" w:ascii="宋体" w:hAnsi="宋体" w:eastAsia="宋体" w:cs="宋体"/>
          <w:kern w:val="0"/>
          <w:sz w:val="24"/>
          <w:highlight w:val="none"/>
        </w:rPr>
        <w:t>7.6磋商响应</w:t>
      </w:r>
      <w:r>
        <w:rPr>
          <w:rFonts w:hint="eastAsia" w:ascii="宋体" w:hAnsi="宋体" w:eastAsia="宋体" w:cs="宋体"/>
          <w:sz w:val="24"/>
          <w:highlight w:val="none"/>
        </w:rPr>
        <w:t>文件用纸外形尺寸应统一为A4纸规格。</w:t>
      </w:r>
    </w:p>
    <w:p w14:paraId="148257C4">
      <w:pPr>
        <w:spacing w:line="360" w:lineRule="auto"/>
        <w:ind w:left="-4" w:leftChars="-2"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8. 磋商报价</w:t>
      </w:r>
    </w:p>
    <w:p w14:paraId="38B9F9B9">
      <w:pPr>
        <w:spacing w:line="360" w:lineRule="auto"/>
        <w:ind w:left="-4" w:leftChars="-2" w:firstLine="480" w:firstLineChars="200"/>
        <w:rPr>
          <w:rFonts w:hint="eastAsia" w:ascii="宋体" w:hAnsi="宋体" w:eastAsia="宋体" w:cs="宋体"/>
          <w:sz w:val="24"/>
          <w:highlight w:val="none"/>
        </w:rPr>
      </w:pPr>
      <w:r>
        <w:rPr>
          <w:rFonts w:hint="eastAsia" w:ascii="宋体" w:hAnsi="宋体" w:eastAsia="宋体" w:cs="宋体"/>
          <w:sz w:val="24"/>
          <w:highlight w:val="none"/>
        </w:rPr>
        <w:t>8.1供应商所提供的服务均以人民币报价。</w:t>
      </w:r>
    </w:p>
    <w:p w14:paraId="29AE2A97">
      <w:pPr>
        <w:spacing w:line="360" w:lineRule="auto"/>
        <w:ind w:left="-4" w:leftChars="-2" w:firstLine="480" w:firstLineChars="200"/>
        <w:rPr>
          <w:rFonts w:hint="eastAsia" w:ascii="宋体" w:hAnsi="宋体" w:eastAsia="宋体" w:cs="宋体"/>
          <w:sz w:val="24"/>
          <w:highlight w:val="none"/>
        </w:rPr>
      </w:pPr>
      <w:r>
        <w:rPr>
          <w:rFonts w:hint="eastAsia" w:ascii="宋体" w:hAnsi="宋体" w:eastAsia="宋体" w:cs="宋体"/>
          <w:sz w:val="24"/>
          <w:highlight w:val="none"/>
        </w:rPr>
        <w:t>8.2供应商应按照竞争性磋商文件规定的服务内容、责任范围以及合同条款进行报价。并按《报价一览表》确定的格式报出总价。总价中不得包含磋商文件要求以外的内容，否则，在评审时不予核减。总价中也不得缺漏磋商文件所要求的内容，否则，其磋商将被视为无效磋商。</w:t>
      </w:r>
    </w:p>
    <w:p w14:paraId="39463EF9">
      <w:pPr>
        <w:spacing w:line="360" w:lineRule="auto"/>
        <w:ind w:left="-4" w:leftChars="-2" w:firstLine="480" w:firstLineChars="200"/>
        <w:rPr>
          <w:rFonts w:hint="eastAsia" w:ascii="宋体" w:hAnsi="宋体" w:eastAsia="宋体" w:cs="宋体"/>
          <w:sz w:val="24"/>
          <w:highlight w:val="none"/>
        </w:rPr>
      </w:pPr>
      <w:r>
        <w:rPr>
          <w:rFonts w:hint="eastAsia" w:ascii="宋体" w:hAnsi="宋体" w:eastAsia="宋体" w:cs="宋体"/>
          <w:sz w:val="24"/>
          <w:highlight w:val="none"/>
        </w:rPr>
        <w:t>8.3第二轮报价为最终报价，此价格将在合同执行过程中是固定不变的，不得以任何理由予以变更。</w:t>
      </w:r>
    </w:p>
    <w:p w14:paraId="734A3D34">
      <w:pPr>
        <w:spacing w:line="360" w:lineRule="auto"/>
        <w:ind w:left="-4" w:leftChars="-2" w:firstLine="480" w:firstLineChars="200"/>
        <w:rPr>
          <w:rFonts w:hint="eastAsia" w:ascii="宋体" w:hAnsi="宋体" w:eastAsia="宋体" w:cs="宋体"/>
          <w:sz w:val="24"/>
          <w:highlight w:val="none"/>
        </w:rPr>
      </w:pPr>
      <w:r>
        <w:rPr>
          <w:rFonts w:hint="eastAsia" w:ascii="宋体" w:hAnsi="宋体" w:eastAsia="宋体" w:cs="宋体"/>
          <w:sz w:val="24"/>
          <w:highlight w:val="none"/>
        </w:rPr>
        <w:t>8.4供应商应根据提供的货物和服务自行报价。本报价均已包括为实施和完成本项目服务所产生的管理、保险、税费、利润等在内费用以及合同明示或暗示的所有责任义务和风险。</w:t>
      </w:r>
    </w:p>
    <w:p w14:paraId="25718265">
      <w:pPr>
        <w:spacing w:line="360" w:lineRule="auto"/>
        <w:ind w:left="-4" w:leftChars="-2" w:firstLine="480" w:firstLineChars="200"/>
        <w:rPr>
          <w:rFonts w:hint="eastAsia" w:ascii="宋体" w:hAnsi="宋体" w:eastAsia="宋体" w:cs="宋体"/>
          <w:sz w:val="24"/>
          <w:highlight w:val="none"/>
        </w:rPr>
      </w:pPr>
      <w:r>
        <w:rPr>
          <w:rFonts w:hint="eastAsia" w:ascii="宋体" w:hAnsi="宋体" w:eastAsia="宋体" w:cs="宋体"/>
          <w:sz w:val="24"/>
          <w:highlight w:val="none"/>
        </w:rPr>
        <w:t>8.5磋商响应文件的大写金额和小写金额不一致的，以大写金额为准；总价金额与按单价汇总金额不一致的，以单价金额计算结果为准；单价金额小数点有明显错位的，应以总价为准，并修改单价。对不同文字文本磋商响应文件的解释发生异议的，以中文文本为准。</w:t>
      </w:r>
    </w:p>
    <w:p w14:paraId="49DEF957">
      <w:pPr>
        <w:spacing w:line="360" w:lineRule="auto"/>
        <w:ind w:left="-4" w:leftChars="-2" w:firstLine="480" w:firstLineChars="200"/>
        <w:rPr>
          <w:rFonts w:hint="eastAsia" w:ascii="宋体" w:hAnsi="宋体" w:eastAsia="宋体" w:cs="宋体"/>
          <w:sz w:val="24"/>
          <w:highlight w:val="none"/>
          <w:lang w:val="zh-CN"/>
        </w:rPr>
      </w:pPr>
      <w:r>
        <w:rPr>
          <w:rFonts w:hint="eastAsia" w:ascii="宋体" w:hAnsi="宋体" w:eastAsia="宋体" w:cs="宋体"/>
          <w:sz w:val="24"/>
          <w:highlight w:val="none"/>
        </w:rPr>
        <w:t>8.6</w:t>
      </w:r>
      <w:r>
        <w:rPr>
          <w:rFonts w:hint="eastAsia" w:ascii="宋体" w:hAnsi="宋体" w:eastAsia="宋体" w:cs="宋体"/>
          <w:sz w:val="24"/>
          <w:highlight w:val="none"/>
          <w:lang w:val="zh-CN"/>
        </w:rPr>
        <w:t>磋商供应商不得以低于其成本的价格进行报价。若评审小组认为供应商的报价明显低于其他通过资格审核的供应商的报价，且有可能影响工程质量或者不能诚信履约的，有权要求其在评审会现场合理的时间内提供书面说明，必要时提交相关证明材料；供应商不能证明其报价合理性的，评审小组将终止与其磋商。</w:t>
      </w:r>
    </w:p>
    <w:p w14:paraId="4BA423D6">
      <w:pPr>
        <w:spacing w:line="360" w:lineRule="auto"/>
        <w:ind w:left="-4" w:leftChars="-2"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9. 备选方案</w:t>
      </w:r>
    </w:p>
    <w:p w14:paraId="74DE2897">
      <w:pPr>
        <w:spacing w:line="360" w:lineRule="auto"/>
        <w:ind w:left="-4" w:leftChars="-2" w:firstLine="480" w:firstLineChars="200"/>
        <w:rPr>
          <w:rFonts w:hint="eastAsia" w:ascii="宋体" w:hAnsi="宋体" w:eastAsia="宋体" w:cs="宋体"/>
          <w:sz w:val="24"/>
          <w:highlight w:val="none"/>
        </w:rPr>
      </w:pPr>
      <w:r>
        <w:rPr>
          <w:rFonts w:hint="eastAsia" w:ascii="宋体" w:hAnsi="宋体" w:eastAsia="宋体" w:cs="宋体"/>
          <w:sz w:val="24"/>
          <w:highlight w:val="none"/>
        </w:rPr>
        <w:t>9.1只允许供应商有一个方案，否则将被视为无效磋商。</w:t>
      </w:r>
    </w:p>
    <w:p w14:paraId="1299ED1E">
      <w:pPr>
        <w:spacing w:line="360" w:lineRule="auto"/>
        <w:ind w:left="-4" w:leftChars="-2"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10. 联合体投标</w:t>
      </w:r>
    </w:p>
    <w:p w14:paraId="5DFC1960">
      <w:pPr>
        <w:spacing w:line="360" w:lineRule="auto"/>
        <w:ind w:left="-4" w:leftChars="-2" w:firstLine="480" w:firstLineChars="200"/>
        <w:rPr>
          <w:rFonts w:hint="eastAsia" w:ascii="宋体" w:hAnsi="宋体" w:eastAsia="宋体" w:cs="宋体"/>
          <w:sz w:val="24"/>
          <w:highlight w:val="none"/>
        </w:rPr>
      </w:pPr>
      <w:r>
        <w:rPr>
          <w:rFonts w:hint="eastAsia" w:ascii="宋体" w:hAnsi="宋体" w:eastAsia="宋体" w:cs="宋体"/>
          <w:sz w:val="24"/>
          <w:highlight w:val="none"/>
        </w:rPr>
        <w:t>10.1本次磋商不接受联合体参与。同时项目执行过程中不允许转包、分包。</w:t>
      </w:r>
    </w:p>
    <w:p w14:paraId="6DCA33DB">
      <w:pPr>
        <w:spacing w:line="360" w:lineRule="auto"/>
        <w:ind w:left="-4" w:leftChars="-2" w:firstLine="480" w:firstLineChars="200"/>
        <w:rPr>
          <w:rFonts w:hint="eastAsia" w:ascii="宋体" w:hAnsi="宋体" w:eastAsia="宋体" w:cs="宋体"/>
          <w:sz w:val="24"/>
          <w:highlight w:val="none"/>
        </w:rPr>
      </w:pPr>
      <w:r>
        <w:rPr>
          <w:rFonts w:hint="eastAsia" w:ascii="宋体" w:hAnsi="宋体" w:eastAsia="宋体" w:cs="宋体"/>
          <w:sz w:val="24"/>
          <w:highlight w:val="none"/>
        </w:rPr>
        <w:t>10.2供应商证明文件必须真实可靠，不得伪造，复印件必须加盖单位公章。</w:t>
      </w:r>
    </w:p>
    <w:p w14:paraId="3D7F729D">
      <w:pPr>
        <w:spacing w:line="360" w:lineRule="auto"/>
        <w:ind w:left="-4" w:leftChars="-2" w:firstLine="480" w:firstLineChars="200"/>
        <w:rPr>
          <w:rFonts w:hint="eastAsia" w:ascii="宋体" w:hAnsi="宋体" w:eastAsia="宋体" w:cs="宋体"/>
          <w:sz w:val="24"/>
          <w:highlight w:val="none"/>
        </w:rPr>
      </w:pPr>
      <w:r>
        <w:rPr>
          <w:rFonts w:hint="eastAsia" w:ascii="宋体" w:hAnsi="宋体" w:eastAsia="宋体" w:cs="宋体"/>
          <w:sz w:val="24"/>
          <w:highlight w:val="none"/>
        </w:rPr>
        <w:t>10.3证明提供服务的合格性的资料必须真实可靠、不得伪造。</w:t>
      </w:r>
    </w:p>
    <w:p w14:paraId="199BE66F">
      <w:pPr>
        <w:spacing w:line="360" w:lineRule="auto"/>
        <w:ind w:left="-4" w:leftChars="-2"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11. 磋商的有效期</w:t>
      </w:r>
    </w:p>
    <w:p w14:paraId="7D66B06B">
      <w:pPr>
        <w:spacing w:line="360" w:lineRule="auto"/>
        <w:ind w:left="-4" w:leftChars="-2" w:firstLine="480" w:firstLineChars="200"/>
        <w:rPr>
          <w:rFonts w:hint="eastAsia" w:ascii="宋体" w:hAnsi="宋体" w:eastAsia="宋体" w:cs="宋体"/>
          <w:sz w:val="24"/>
          <w:highlight w:val="none"/>
        </w:rPr>
      </w:pPr>
      <w:r>
        <w:rPr>
          <w:rFonts w:hint="eastAsia" w:ascii="宋体" w:hAnsi="宋体" w:eastAsia="宋体" w:cs="宋体"/>
          <w:sz w:val="24"/>
          <w:highlight w:val="none"/>
        </w:rPr>
        <w:t>11.1 磋商有效期为磋商之日起共</w:t>
      </w:r>
      <w:r>
        <w:rPr>
          <w:rFonts w:hint="eastAsia" w:ascii="宋体" w:hAnsi="宋体" w:eastAsia="宋体" w:cs="宋体"/>
          <w:sz w:val="24"/>
          <w:highlight w:val="none"/>
          <w:u w:val="single"/>
        </w:rPr>
        <w:t>60</w:t>
      </w:r>
      <w:r>
        <w:rPr>
          <w:rFonts w:hint="eastAsia" w:ascii="宋体" w:hAnsi="宋体" w:eastAsia="宋体" w:cs="宋体"/>
          <w:sz w:val="24"/>
          <w:highlight w:val="none"/>
        </w:rPr>
        <w:t>个日历天。供应商磋商有效期不足的磋商将被视为无效磋商。</w:t>
      </w:r>
    </w:p>
    <w:p w14:paraId="3CB9BB64">
      <w:pPr>
        <w:spacing w:line="360" w:lineRule="auto"/>
        <w:ind w:left="-4" w:leftChars="-2"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12. 磋商响应文件的数量和签署</w:t>
      </w:r>
    </w:p>
    <w:p w14:paraId="37EBE075">
      <w:pPr>
        <w:spacing w:line="360" w:lineRule="auto"/>
        <w:ind w:left="-4" w:leftChars="-2" w:firstLine="480" w:firstLineChars="200"/>
        <w:rPr>
          <w:rFonts w:hint="eastAsia" w:ascii="宋体" w:hAnsi="宋体" w:eastAsia="宋体" w:cs="宋体"/>
          <w:sz w:val="24"/>
          <w:highlight w:val="none"/>
          <w:lang w:val="zh-CN"/>
        </w:rPr>
      </w:pPr>
      <w:bookmarkStart w:id="18" w:name="_Toc330797715"/>
      <w:bookmarkStart w:id="19" w:name="_Toc25841"/>
      <w:r>
        <w:rPr>
          <w:rFonts w:hint="eastAsia" w:ascii="宋体" w:hAnsi="宋体" w:eastAsia="宋体" w:cs="宋体"/>
          <w:sz w:val="24"/>
          <w:highlight w:val="none"/>
        </w:rPr>
        <w:t>12</w:t>
      </w:r>
      <w:r>
        <w:rPr>
          <w:rFonts w:hint="eastAsia" w:ascii="宋体" w:hAnsi="宋体" w:eastAsia="宋体" w:cs="宋体"/>
          <w:sz w:val="24"/>
          <w:highlight w:val="none"/>
          <w:lang w:val="zh-CN"/>
        </w:rPr>
        <w:t>.1 供应商应编制磋商响应文件一式</w:t>
      </w:r>
      <w:r>
        <w:rPr>
          <w:rFonts w:hint="eastAsia" w:ascii="宋体" w:hAnsi="宋体" w:eastAsia="宋体" w:cs="宋体"/>
          <w:sz w:val="24"/>
          <w:highlight w:val="none"/>
          <w:lang w:val="en-US" w:eastAsia="zh-CN"/>
        </w:rPr>
        <w:t>两</w:t>
      </w:r>
      <w:r>
        <w:rPr>
          <w:rFonts w:hint="eastAsia" w:ascii="宋体" w:hAnsi="宋体" w:eastAsia="宋体" w:cs="宋体"/>
          <w:sz w:val="24"/>
          <w:highlight w:val="none"/>
          <w:lang w:val="zh-CN"/>
        </w:rPr>
        <w:t>份，其中正本壹份和副本</w:t>
      </w:r>
      <w:r>
        <w:rPr>
          <w:rFonts w:hint="eastAsia" w:ascii="宋体" w:hAnsi="宋体" w:eastAsia="宋体" w:cs="宋体"/>
          <w:sz w:val="24"/>
          <w:highlight w:val="none"/>
          <w:lang w:val="en-US" w:eastAsia="zh-CN"/>
        </w:rPr>
        <w:t>一</w:t>
      </w:r>
      <w:r>
        <w:rPr>
          <w:rFonts w:hint="eastAsia" w:ascii="宋体" w:hAnsi="宋体" w:eastAsia="宋体" w:cs="宋体"/>
          <w:sz w:val="24"/>
          <w:highlight w:val="none"/>
          <w:lang w:val="zh-CN"/>
        </w:rPr>
        <w:t>份，磋商响应文件的副本可采用正本的复印件。每套磋商响应文件须清楚地标明“正本”、“副本”。若副本与正本不符，以正本为准。</w:t>
      </w:r>
    </w:p>
    <w:p w14:paraId="0BA7BC95">
      <w:pPr>
        <w:spacing w:line="360" w:lineRule="auto"/>
        <w:ind w:left="-4" w:leftChars="-2" w:firstLine="480" w:firstLineChars="200"/>
        <w:rPr>
          <w:rFonts w:hint="eastAsia" w:ascii="宋体" w:hAnsi="宋体" w:eastAsia="宋体" w:cs="宋体"/>
          <w:sz w:val="24"/>
          <w:highlight w:val="none"/>
          <w:lang w:val="zh-CN"/>
        </w:rPr>
      </w:pPr>
      <w:r>
        <w:rPr>
          <w:rFonts w:hint="eastAsia" w:ascii="宋体" w:hAnsi="宋体" w:eastAsia="宋体" w:cs="宋体"/>
          <w:sz w:val="24"/>
          <w:highlight w:val="none"/>
        </w:rPr>
        <w:t>12</w:t>
      </w:r>
      <w:r>
        <w:rPr>
          <w:rFonts w:hint="eastAsia" w:ascii="宋体" w:hAnsi="宋体" w:eastAsia="宋体" w:cs="宋体"/>
          <w:sz w:val="24"/>
          <w:highlight w:val="none"/>
          <w:lang w:val="zh-CN"/>
        </w:rPr>
        <w:t>.2 磋商响应文件的正本需打印，并由法定代表人或经其正式授权的代表签字，并在规定的位置加盖供应商公章。授权代表须将以书面形式出具证明，其《法定代表人授权书》应附在磋商响应文件中。</w:t>
      </w:r>
    </w:p>
    <w:p w14:paraId="7A968F11">
      <w:pPr>
        <w:spacing w:line="360" w:lineRule="auto"/>
        <w:ind w:left="-4" w:leftChars="-2" w:firstLine="480" w:firstLineChars="200"/>
        <w:rPr>
          <w:rFonts w:hint="eastAsia" w:ascii="宋体" w:hAnsi="宋体" w:eastAsia="宋体" w:cs="宋体"/>
          <w:sz w:val="24"/>
          <w:highlight w:val="none"/>
          <w:lang w:val="zh-CN"/>
        </w:rPr>
      </w:pPr>
      <w:r>
        <w:rPr>
          <w:rFonts w:hint="eastAsia" w:ascii="宋体" w:hAnsi="宋体" w:eastAsia="宋体" w:cs="宋体"/>
          <w:sz w:val="24"/>
          <w:highlight w:val="none"/>
        </w:rPr>
        <w:t>12</w:t>
      </w:r>
      <w:r>
        <w:rPr>
          <w:rFonts w:hint="eastAsia" w:ascii="宋体" w:hAnsi="宋体" w:eastAsia="宋体" w:cs="宋体"/>
          <w:sz w:val="24"/>
          <w:highlight w:val="none"/>
          <w:lang w:val="zh-CN"/>
        </w:rPr>
        <w:t>.3 磋商响应文件中的任何行间重要的插字、涂改和增删，必须由法定代表人或经其正式授权的代表在旁边签字并加盖供应商公章才有效。</w:t>
      </w:r>
    </w:p>
    <w:p w14:paraId="0E962AE9">
      <w:pPr>
        <w:spacing w:line="360" w:lineRule="auto"/>
        <w:ind w:left="-4" w:leftChars="-2" w:firstLine="482" w:firstLineChars="200"/>
        <w:outlineLvl w:val="2"/>
        <w:rPr>
          <w:rFonts w:hint="eastAsia" w:ascii="宋体" w:hAnsi="宋体" w:eastAsia="宋体" w:cs="宋体"/>
          <w:sz w:val="24"/>
          <w:highlight w:val="none"/>
        </w:rPr>
      </w:pPr>
      <w:r>
        <w:rPr>
          <w:rFonts w:hint="eastAsia" w:ascii="宋体" w:hAnsi="宋体" w:eastAsia="宋体" w:cs="宋体"/>
          <w:b/>
          <w:sz w:val="24"/>
          <w:highlight w:val="none"/>
        </w:rPr>
        <w:t>四、磋商响应文件的递交</w:t>
      </w:r>
      <w:bookmarkEnd w:id="18"/>
      <w:bookmarkEnd w:id="19"/>
    </w:p>
    <w:p w14:paraId="77FF6EA0">
      <w:pPr>
        <w:spacing w:line="360" w:lineRule="auto"/>
        <w:ind w:left="-4" w:leftChars="-2"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13. 磋商响应文件的密封和标记</w:t>
      </w:r>
    </w:p>
    <w:p w14:paraId="777B2492">
      <w:pPr>
        <w:spacing w:line="360" w:lineRule="auto"/>
        <w:ind w:left="-4" w:leftChars="-2" w:firstLine="480" w:firstLineChars="200"/>
        <w:rPr>
          <w:rFonts w:hint="eastAsia" w:ascii="宋体" w:hAnsi="宋体" w:eastAsia="宋体" w:cs="宋体"/>
          <w:sz w:val="24"/>
          <w:highlight w:val="none"/>
          <w:lang w:val="zh-CN"/>
        </w:rPr>
      </w:pPr>
      <w:r>
        <w:rPr>
          <w:rFonts w:hint="eastAsia" w:ascii="宋体" w:hAnsi="宋体" w:eastAsia="宋体" w:cs="宋体"/>
          <w:sz w:val="24"/>
          <w:highlight w:val="none"/>
        </w:rPr>
        <w:t>13</w:t>
      </w:r>
      <w:r>
        <w:rPr>
          <w:rFonts w:hint="eastAsia" w:ascii="宋体" w:hAnsi="宋体" w:eastAsia="宋体" w:cs="宋体"/>
          <w:sz w:val="24"/>
          <w:highlight w:val="none"/>
          <w:lang w:val="zh-CN"/>
        </w:rPr>
        <w:t>.1供应商应将《报价一览表》单独密封提交，并在信封上标明“报价一览表”字样。</w:t>
      </w:r>
    </w:p>
    <w:p w14:paraId="5FD6649A">
      <w:pPr>
        <w:spacing w:line="360" w:lineRule="auto"/>
        <w:ind w:left="-4" w:leftChars="-2" w:firstLine="480" w:firstLineChars="200"/>
        <w:rPr>
          <w:rFonts w:hint="eastAsia" w:ascii="宋体" w:hAnsi="宋体" w:eastAsia="宋体" w:cs="宋体"/>
          <w:sz w:val="24"/>
          <w:highlight w:val="none"/>
          <w:lang w:val="zh-CN"/>
        </w:rPr>
      </w:pPr>
      <w:r>
        <w:rPr>
          <w:rFonts w:hint="eastAsia" w:ascii="宋体" w:hAnsi="宋体" w:eastAsia="宋体" w:cs="宋体"/>
          <w:sz w:val="24"/>
          <w:highlight w:val="none"/>
        </w:rPr>
        <w:t>13</w:t>
      </w:r>
      <w:r>
        <w:rPr>
          <w:rFonts w:hint="eastAsia" w:ascii="宋体" w:hAnsi="宋体" w:eastAsia="宋体" w:cs="宋体"/>
          <w:sz w:val="24"/>
          <w:highlight w:val="none"/>
          <w:lang w:val="zh-CN"/>
        </w:rPr>
        <w:t>.2供应商应将磋商响应文件正本和副本一起密封装于一个档案袋内。</w:t>
      </w:r>
    </w:p>
    <w:p w14:paraId="348D9793">
      <w:pPr>
        <w:spacing w:line="360" w:lineRule="auto"/>
        <w:ind w:left="-4" w:leftChars="-2" w:firstLine="480" w:firstLineChars="200"/>
        <w:rPr>
          <w:rFonts w:hint="eastAsia" w:ascii="宋体" w:hAnsi="宋体" w:eastAsia="宋体" w:cs="宋体"/>
          <w:sz w:val="24"/>
          <w:highlight w:val="none"/>
          <w:lang w:val="zh-CN"/>
        </w:rPr>
      </w:pPr>
      <w:r>
        <w:rPr>
          <w:rFonts w:hint="eastAsia" w:ascii="宋体" w:hAnsi="宋体" w:eastAsia="宋体" w:cs="宋体"/>
          <w:sz w:val="24"/>
          <w:highlight w:val="none"/>
        </w:rPr>
        <w:t>13</w:t>
      </w:r>
      <w:r>
        <w:rPr>
          <w:rFonts w:hint="eastAsia" w:ascii="宋体" w:hAnsi="宋体" w:eastAsia="宋体" w:cs="宋体"/>
          <w:sz w:val="24"/>
          <w:highlight w:val="none"/>
          <w:lang w:val="zh-CN"/>
        </w:rPr>
        <w:t>.3档案袋上应注明采购项目名称、项目编号、采购人名称、供应商名称和有“在（磋商文件中规定的磋商日期和时间）之前不得启封”的字样，封口处加盖供应商印章。</w:t>
      </w:r>
    </w:p>
    <w:p w14:paraId="0E7F9491">
      <w:pPr>
        <w:spacing w:line="360" w:lineRule="auto"/>
        <w:ind w:left="-4" w:leftChars="-2" w:firstLine="480" w:firstLineChars="200"/>
        <w:rPr>
          <w:rFonts w:hint="eastAsia" w:ascii="宋体" w:hAnsi="宋体" w:eastAsia="宋体" w:cs="宋体"/>
          <w:sz w:val="24"/>
          <w:highlight w:val="none"/>
          <w:lang w:val="zh-CN"/>
        </w:rPr>
      </w:pPr>
      <w:r>
        <w:rPr>
          <w:rFonts w:hint="eastAsia" w:ascii="宋体" w:hAnsi="宋体" w:eastAsia="宋体" w:cs="宋体"/>
          <w:sz w:val="24"/>
          <w:highlight w:val="none"/>
        </w:rPr>
        <w:t>13</w:t>
      </w:r>
      <w:r>
        <w:rPr>
          <w:rFonts w:hint="eastAsia" w:ascii="宋体" w:hAnsi="宋体" w:eastAsia="宋体" w:cs="宋体"/>
          <w:sz w:val="24"/>
          <w:highlight w:val="none"/>
          <w:lang w:val="zh-CN"/>
        </w:rPr>
        <w:t>.4磋商响应文件应装订成册（</w:t>
      </w:r>
      <w:r>
        <w:rPr>
          <w:rFonts w:hint="eastAsia" w:ascii="宋体" w:hAnsi="宋体" w:eastAsia="宋体" w:cs="宋体"/>
          <w:b/>
          <w:bCs/>
          <w:sz w:val="24"/>
          <w:highlight w:val="none"/>
          <w:lang w:val="zh-CN"/>
        </w:rPr>
        <w:t>胶装</w:t>
      </w:r>
      <w:r>
        <w:rPr>
          <w:rFonts w:hint="eastAsia" w:ascii="宋体" w:hAnsi="宋体" w:eastAsia="宋体" w:cs="宋体"/>
          <w:sz w:val="24"/>
          <w:highlight w:val="none"/>
          <w:lang w:val="zh-CN"/>
        </w:rPr>
        <w:t>），整体外观简洁美观。</w:t>
      </w:r>
    </w:p>
    <w:p w14:paraId="1DE36486">
      <w:pPr>
        <w:spacing w:line="360" w:lineRule="auto"/>
        <w:ind w:left="-4" w:leftChars="-2" w:firstLine="480" w:firstLineChars="200"/>
        <w:rPr>
          <w:rFonts w:hint="eastAsia" w:ascii="宋体" w:hAnsi="宋体" w:eastAsia="宋体" w:cs="宋体"/>
          <w:sz w:val="24"/>
          <w:highlight w:val="none"/>
          <w:lang w:val="zh-CN"/>
        </w:rPr>
      </w:pPr>
      <w:r>
        <w:rPr>
          <w:rFonts w:hint="eastAsia" w:ascii="宋体" w:hAnsi="宋体" w:eastAsia="宋体" w:cs="宋体"/>
          <w:sz w:val="24"/>
          <w:highlight w:val="none"/>
        </w:rPr>
        <w:t>13</w:t>
      </w:r>
      <w:r>
        <w:rPr>
          <w:rFonts w:hint="eastAsia" w:ascii="宋体" w:hAnsi="宋体" w:eastAsia="宋体" w:cs="宋体"/>
          <w:sz w:val="24"/>
          <w:highlight w:val="none"/>
          <w:lang w:val="zh-CN"/>
        </w:rPr>
        <w:t>.5如果未按上述要求加写密封和标记，采购人对误投或提前启封概不负责。</w:t>
      </w:r>
    </w:p>
    <w:p w14:paraId="2E294258">
      <w:pPr>
        <w:spacing w:line="360" w:lineRule="auto"/>
        <w:ind w:left="-4" w:leftChars="-2"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14. 磋商截止时间</w:t>
      </w:r>
    </w:p>
    <w:p w14:paraId="418A45DF">
      <w:pPr>
        <w:spacing w:line="360" w:lineRule="auto"/>
        <w:ind w:left="-4" w:leftChars="-2" w:firstLine="480" w:firstLineChars="200"/>
        <w:rPr>
          <w:rFonts w:hint="eastAsia" w:ascii="宋体" w:hAnsi="宋体" w:eastAsia="宋体" w:cs="宋体"/>
          <w:sz w:val="24"/>
          <w:highlight w:val="none"/>
          <w:lang w:val="zh-CN"/>
        </w:rPr>
      </w:pPr>
      <w:bookmarkStart w:id="20" w:name="_Toc330797716"/>
      <w:bookmarkStart w:id="21" w:name="_Toc4806"/>
      <w:r>
        <w:rPr>
          <w:rFonts w:hint="eastAsia" w:ascii="宋体" w:hAnsi="宋体" w:eastAsia="宋体" w:cs="宋体"/>
          <w:sz w:val="24"/>
          <w:highlight w:val="none"/>
          <w:lang w:val="zh-CN"/>
        </w:rPr>
        <w:t>供应商应在不迟于磋商须知前附表中规定的截止日期和时间将磋商响应文件递交至指定地点。</w:t>
      </w:r>
    </w:p>
    <w:p w14:paraId="3DB8769D">
      <w:pPr>
        <w:spacing w:line="360" w:lineRule="auto"/>
        <w:ind w:left="-4" w:leftChars="-2" w:firstLine="482" w:firstLineChars="200"/>
        <w:outlineLvl w:val="2"/>
        <w:rPr>
          <w:rFonts w:hint="eastAsia" w:ascii="宋体" w:hAnsi="宋体" w:eastAsia="宋体" w:cs="宋体"/>
          <w:b/>
          <w:sz w:val="24"/>
          <w:highlight w:val="none"/>
        </w:rPr>
      </w:pPr>
      <w:r>
        <w:rPr>
          <w:rFonts w:hint="eastAsia" w:ascii="宋体" w:hAnsi="宋体" w:eastAsia="宋体" w:cs="宋体"/>
          <w:b/>
          <w:sz w:val="24"/>
          <w:highlight w:val="none"/>
        </w:rPr>
        <w:t>五、磋商与评</w:t>
      </w:r>
      <w:bookmarkEnd w:id="20"/>
      <w:bookmarkEnd w:id="21"/>
      <w:r>
        <w:rPr>
          <w:rFonts w:hint="eastAsia" w:ascii="宋体" w:hAnsi="宋体" w:eastAsia="宋体" w:cs="宋体"/>
          <w:b/>
          <w:sz w:val="24"/>
          <w:highlight w:val="none"/>
        </w:rPr>
        <w:t>审</w:t>
      </w:r>
    </w:p>
    <w:p w14:paraId="56D8EEE5">
      <w:pPr>
        <w:spacing w:line="360" w:lineRule="auto"/>
        <w:ind w:left="-4" w:leftChars="-2"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15. 磋商</w:t>
      </w:r>
    </w:p>
    <w:p w14:paraId="24614D4A">
      <w:pPr>
        <w:spacing w:line="360" w:lineRule="auto"/>
        <w:ind w:left="-4" w:leftChars="-2" w:firstLine="482" w:firstLineChars="200"/>
        <w:rPr>
          <w:rFonts w:hint="eastAsia" w:ascii="宋体" w:hAnsi="宋体" w:eastAsia="宋体" w:cs="宋体"/>
          <w:b/>
          <w:bCs/>
          <w:sz w:val="24"/>
          <w:highlight w:val="none"/>
          <w:lang w:val="zh-CN"/>
        </w:rPr>
      </w:pPr>
      <w:r>
        <w:rPr>
          <w:rFonts w:hint="eastAsia" w:ascii="宋体" w:hAnsi="宋体" w:eastAsia="宋体" w:cs="宋体"/>
          <w:b/>
          <w:bCs/>
          <w:sz w:val="24"/>
          <w:highlight w:val="none"/>
        </w:rPr>
        <w:t>15</w:t>
      </w:r>
      <w:r>
        <w:rPr>
          <w:rFonts w:hint="eastAsia" w:ascii="宋体" w:hAnsi="宋体" w:eastAsia="宋体" w:cs="宋体"/>
          <w:b/>
          <w:bCs/>
          <w:sz w:val="24"/>
          <w:highlight w:val="none"/>
          <w:lang w:val="zh-CN"/>
        </w:rPr>
        <w:t>.1各响应供应商应在磋商须知前附表约定日期、时间和地点前来磋商，并携带密封的磋商响应文件、单独密封的报价一览表、未密封的法定代表人授权委托书原件及本人身份证原件。</w:t>
      </w:r>
    </w:p>
    <w:p w14:paraId="55B575A3">
      <w:pPr>
        <w:spacing w:line="360" w:lineRule="auto"/>
        <w:ind w:left="-4" w:leftChars="-2" w:firstLine="480" w:firstLineChars="200"/>
        <w:rPr>
          <w:rFonts w:hint="eastAsia" w:ascii="宋体" w:hAnsi="宋体" w:eastAsia="宋体" w:cs="宋体"/>
          <w:sz w:val="24"/>
          <w:highlight w:val="none"/>
          <w:lang w:val="zh-CN"/>
        </w:rPr>
      </w:pPr>
      <w:r>
        <w:rPr>
          <w:rFonts w:hint="eastAsia" w:ascii="宋体" w:hAnsi="宋体" w:eastAsia="宋体" w:cs="宋体"/>
          <w:sz w:val="24"/>
          <w:highlight w:val="none"/>
        </w:rPr>
        <w:t>15</w:t>
      </w:r>
      <w:r>
        <w:rPr>
          <w:rFonts w:hint="eastAsia" w:ascii="宋体" w:hAnsi="宋体" w:eastAsia="宋体" w:cs="宋体"/>
          <w:sz w:val="24"/>
          <w:highlight w:val="none"/>
          <w:lang w:val="zh-CN"/>
        </w:rPr>
        <w:t>.</w:t>
      </w:r>
      <w:r>
        <w:rPr>
          <w:rFonts w:hint="eastAsia" w:ascii="宋体" w:hAnsi="宋体" w:eastAsia="宋体" w:cs="宋体"/>
          <w:sz w:val="24"/>
          <w:highlight w:val="none"/>
        </w:rPr>
        <w:t>2</w:t>
      </w:r>
      <w:r>
        <w:rPr>
          <w:rFonts w:hint="eastAsia" w:ascii="宋体" w:hAnsi="宋体" w:eastAsia="宋体" w:cs="宋体"/>
          <w:sz w:val="24"/>
          <w:highlight w:val="none"/>
          <w:lang w:val="zh-CN"/>
        </w:rPr>
        <w:t>磋商时，出现下列情形之一的磋商响应文件，作为无效磋商响应文件，不得进入评审阶段：</w:t>
      </w:r>
    </w:p>
    <w:p w14:paraId="773FE432">
      <w:pPr>
        <w:spacing w:line="360" w:lineRule="auto"/>
        <w:ind w:left="-4" w:leftChars="-2" w:firstLine="480" w:firstLineChars="200"/>
        <w:rPr>
          <w:rFonts w:hint="eastAsia" w:ascii="宋体" w:hAnsi="宋体" w:eastAsia="宋体" w:cs="宋体"/>
          <w:sz w:val="24"/>
          <w:highlight w:val="none"/>
          <w:lang w:val="zh-CN"/>
        </w:rPr>
      </w:pPr>
      <w:r>
        <w:rPr>
          <w:rFonts w:hint="eastAsia" w:ascii="宋体" w:hAnsi="宋体" w:eastAsia="宋体" w:cs="宋体"/>
          <w:sz w:val="24"/>
          <w:highlight w:val="none"/>
          <w:lang w:val="zh-CN"/>
        </w:rPr>
        <w:t>（1）供应商未准时或按要求配合采购单位的现场网络磋商事项；</w:t>
      </w:r>
    </w:p>
    <w:p w14:paraId="1542A837">
      <w:pPr>
        <w:spacing w:line="360" w:lineRule="auto"/>
        <w:ind w:left="-4" w:leftChars="-2" w:firstLine="480" w:firstLineChars="200"/>
        <w:rPr>
          <w:rFonts w:hint="eastAsia" w:ascii="宋体" w:hAnsi="宋体" w:eastAsia="宋体" w:cs="宋体"/>
          <w:sz w:val="24"/>
          <w:highlight w:val="none"/>
          <w:lang w:val="zh-CN"/>
        </w:rPr>
      </w:pPr>
      <w:r>
        <w:rPr>
          <w:rFonts w:hint="eastAsia" w:ascii="宋体" w:hAnsi="宋体" w:eastAsia="宋体" w:cs="宋体"/>
          <w:sz w:val="24"/>
          <w:highlight w:val="none"/>
          <w:lang w:val="zh-CN"/>
        </w:rPr>
        <w:t>（2）磋商响应文件未按磋商文件规定密封、标记、装订的；</w:t>
      </w:r>
    </w:p>
    <w:p w14:paraId="1596EB14">
      <w:pPr>
        <w:spacing w:line="360" w:lineRule="auto"/>
        <w:ind w:left="-4" w:leftChars="-2" w:firstLine="480" w:firstLineChars="200"/>
        <w:rPr>
          <w:rFonts w:hint="eastAsia" w:ascii="宋体" w:hAnsi="宋体" w:eastAsia="宋体" w:cs="宋体"/>
          <w:sz w:val="24"/>
          <w:highlight w:val="none"/>
          <w:lang w:val="zh-CN"/>
        </w:rPr>
      </w:pPr>
      <w:r>
        <w:rPr>
          <w:rFonts w:hint="eastAsia" w:ascii="宋体" w:hAnsi="宋体" w:eastAsia="宋体" w:cs="宋体"/>
          <w:sz w:val="24"/>
          <w:highlight w:val="none"/>
          <w:lang w:val="zh-CN"/>
        </w:rPr>
        <w:t>（3）磋商响应文件未按磋商文件的规定编制、签字和盖章的；</w:t>
      </w:r>
    </w:p>
    <w:p w14:paraId="3C463C79">
      <w:pPr>
        <w:spacing w:line="360" w:lineRule="auto"/>
        <w:ind w:left="-4" w:leftChars="-2" w:firstLine="480" w:firstLineChars="200"/>
        <w:rPr>
          <w:rFonts w:hint="eastAsia" w:ascii="宋体" w:hAnsi="宋体" w:eastAsia="宋体" w:cs="宋体"/>
          <w:sz w:val="24"/>
          <w:highlight w:val="none"/>
          <w:lang w:val="zh-CN"/>
        </w:rPr>
      </w:pPr>
      <w:r>
        <w:rPr>
          <w:rFonts w:hint="eastAsia" w:ascii="宋体" w:hAnsi="宋体" w:eastAsia="宋体" w:cs="宋体"/>
          <w:sz w:val="24"/>
          <w:highlight w:val="none"/>
          <w:lang w:val="zh-CN"/>
        </w:rPr>
        <w:t>（4）磋商响应文件未按磋商文件规定格式填写，内容不全或字迹模糊、无法辨认的。</w:t>
      </w:r>
    </w:p>
    <w:p w14:paraId="1125D2F8">
      <w:pPr>
        <w:tabs>
          <w:tab w:val="left" w:pos="0"/>
        </w:tabs>
        <w:adjustRightInd w:val="0"/>
        <w:spacing w:line="360" w:lineRule="auto"/>
        <w:ind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16.保密及其他注意事项</w:t>
      </w:r>
    </w:p>
    <w:p w14:paraId="5CF1C97A">
      <w:pPr>
        <w:tabs>
          <w:tab w:val="left" w:pos="0"/>
        </w:tabs>
        <w:adjustRightIn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16.1在磋商、评审期间、供应商不得向磋商小组成员询问评估</w:t>
      </w:r>
      <w:r>
        <w:rPr>
          <w:rFonts w:hint="eastAsia" w:ascii="宋体" w:hAnsi="宋体" w:eastAsia="宋体" w:cs="宋体"/>
          <w:kern w:val="0"/>
          <w:sz w:val="24"/>
          <w:highlight w:val="none"/>
        </w:rPr>
        <w:t>磋商响应文件</w:t>
      </w:r>
      <w:r>
        <w:rPr>
          <w:rFonts w:hint="eastAsia" w:ascii="宋体" w:hAnsi="宋体" w:eastAsia="宋体" w:cs="宋体"/>
          <w:sz w:val="24"/>
          <w:highlight w:val="none"/>
        </w:rPr>
        <w:t>情况，不得进行旨在影响评审结果的活动，否则将废除其磋商。</w:t>
      </w:r>
    </w:p>
    <w:p w14:paraId="074F4011">
      <w:pPr>
        <w:tabs>
          <w:tab w:val="left" w:pos="0"/>
        </w:tabs>
        <w:adjustRightIn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16.2为保证磋商的公正性，评审后直至发出成交通知书前，磋商小组成员不得向供应商泄漏评审情况。知悉评审情况的任何人应对评审情况予以保密。</w:t>
      </w:r>
    </w:p>
    <w:p w14:paraId="04F4C731">
      <w:pPr>
        <w:tabs>
          <w:tab w:val="left" w:pos="0"/>
        </w:tabs>
        <w:adjustRightIn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16.3采购人不向未成交方解释未成交原因，不退还其</w:t>
      </w:r>
      <w:r>
        <w:rPr>
          <w:rFonts w:hint="eastAsia" w:ascii="宋体" w:hAnsi="宋体" w:eastAsia="宋体" w:cs="宋体"/>
          <w:kern w:val="0"/>
          <w:sz w:val="24"/>
          <w:highlight w:val="none"/>
        </w:rPr>
        <w:t>磋商响应文件</w:t>
      </w:r>
      <w:r>
        <w:rPr>
          <w:rFonts w:hint="eastAsia" w:ascii="宋体" w:hAnsi="宋体" w:eastAsia="宋体" w:cs="宋体"/>
          <w:sz w:val="24"/>
          <w:highlight w:val="none"/>
        </w:rPr>
        <w:t>。</w:t>
      </w:r>
    </w:p>
    <w:p w14:paraId="6E994A0A">
      <w:pPr>
        <w:pStyle w:val="12"/>
        <w:tabs>
          <w:tab w:val="left" w:pos="0"/>
        </w:tabs>
        <w:adjustRightInd w:val="0"/>
        <w:spacing w:line="360" w:lineRule="auto"/>
        <w:ind w:firstLine="482" w:firstLineChars="200"/>
        <w:outlineLvl w:val="2"/>
        <w:rPr>
          <w:rFonts w:hint="eastAsia" w:ascii="宋体" w:hAnsi="宋体" w:eastAsia="宋体" w:cs="宋体"/>
          <w:b/>
          <w:sz w:val="24"/>
          <w:szCs w:val="24"/>
          <w:highlight w:val="none"/>
        </w:rPr>
      </w:pPr>
      <w:bookmarkStart w:id="22" w:name="_Toc4425"/>
      <w:bookmarkStart w:id="23" w:name="_Toc330797717"/>
      <w:r>
        <w:rPr>
          <w:rFonts w:hint="eastAsia" w:ascii="宋体" w:hAnsi="宋体" w:eastAsia="宋体" w:cs="宋体"/>
          <w:b/>
          <w:sz w:val="24"/>
          <w:szCs w:val="24"/>
          <w:highlight w:val="none"/>
        </w:rPr>
        <w:t>六、授予合同</w:t>
      </w:r>
      <w:bookmarkEnd w:id="22"/>
      <w:bookmarkEnd w:id="23"/>
    </w:p>
    <w:p w14:paraId="582F707D">
      <w:pPr>
        <w:tabs>
          <w:tab w:val="left" w:pos="0"/>
        </w:tabs>
        <w:autoSpaceDE w:val="0"/>
        <w:autoSpaceDN w:val="0"/>
        <w:adjustRightInd w:val="0"/>
        <w:spacing w:line="360" w:lineRule="auto"/>
        <w:ind w:right="32" w:firstLine="482" w:firstLineChars="200"/>
        <w:rPr>
          <w:rFonts w:hint="eastAsia" w:ascii="宋体" w:hAnsi="宋体" w:eastAsia="宋体" w:cs="宋体"/>
          <w:b/>
          <w:kern w:val="0"/>
          <w:sz w:val="24"/>
          <w:highlight w:val="none"/>
        </w:rPr>
      </w:pPr>
      <w:r>
        <w:rPr>
          <w:rFonts w:hint="eastAsia" w:ascii="宋体" w:hAnsi="宋体" w:eastAsia="宋体" w:cs="宋体"/>
          <w:b/>
          <w:kern w:val="0"/>
          <w:sz w:val="24"/>
          <w:highlight w:val="none"/>
        </w:rPr>
        <w:t>17.合同授予标准</w:t>
      </w:r>
    </w:p>
    <w:p w14:paraId="3A73DA9A">
      <w:pPr>
        <w:tabs>
          <w:tab w:val="left" w:pos="0"/>
        </w:tabs>
        <w:autoSpaceDE w:val="0"/>
        <w:autoSpaceDN w:val="0"/>
        <w:adjustRightInd w:val="0"/>
        <w:spacing w:line="360" w:lineRule="auto"/>
        <w:ind w:right="32" w:firstLine="480" w:firstLineChars="200"/>
        <w:rPr>
          <w:rFonts w:hint="eastAsia" w:ascii="宋体" w:hAnsi="宋体" w:eastAsia="宋体" w:cs="宋体"/>
          <w:sz w:val="24"/>
          <w:highlight w:val="none"/>
        </w:rPr>
      </w:pPr>
      <w:r>
        <w:rPr>
          <w:rFonts w:hint="eastAsia" w:ascii="宋体" w:hAnsi="宋体" w:eastAsia="宋体" w:cs="宋体"/>
          <w:sz w:val="24"/>
          <w:highlight w:val="none"/>
        </w:rPr>
        <w:t>17.1 评审小组将把合同授予被确定为实质上响应磋商文件的且得分最高的供应商。</w:t>
      </w:r>
    </w:p>
    <w:p w14:paraId="2D952A34">
      <w:pPr>
        <w:tabs>
          <w:tab w:val="left" w:pos="0"/>
        </w:tabs>
        <w:adjustRightInd w:val="0"/>
        <w:spacing w:line="360" w:lineRule="auto"/>
        <w:ind w:firstLine="482" w:firstLineChars="200"/>
        <w:rPr>
          <w:rFonts w:hint="eastAsia" w:ascii="宋体" w:hAnsi="宋体" w:eastAsia="宋体" w:cs="宋体"/>
          <w:b/>
          <w:kern w:val="0"/>
          <w:sz w:val="24"/>
          <w:highlight w:val="none"/>
        </w:rPr>
      </w:pPr>
      <w:r>
        <w:rPr>
          <w:rFonts w:hint="eastAsia" w:ascii="宋体" w:hAnsi="宋体" w:eastAsia="宋体" w:cs="宋体"/>
          <w:b/>
          <w:kern w:val="0"/>
          <w:sz w:val="24"/>
          <w:highlight w:val="none"/>
        </w:rPr>
        <w:t>18.签订合同</w:t>
      </w:r>
    </w:p>
    <w:p w14:paraId="4B546B4A">
      <w:pPr>
        <w:tabs>
          <w:tab w:val="left" w:pos="0"/>
        </w:tabs>
        <w:autoSpaceDE w:val="0"/>
        <w:autoSpaceDN w:val="0"/>
        <w:adjustRightInd w:val="0"/>
        <w:spacing w:line="360" w:lineRule="auto"/>
        <w:ind w:right="32" w:firstLine="480" w:firstLineChars="200"/>
        <w:rPr>
          <w:rFonts w:hint="eastAsia" w:ascii="宋体" w:hAnsi="宋体" w:eastAsia="宋体" w:cs="宋体"/>
          <w:sz w:val="24"/>
          <w:highlight w:val="none"/>
        </w:rPr>
      </w:pPr>
      <w:bookmarkStart w:id="24" w:name="_Toc330797718"/>
      <w:bookmarkStart w:id="25" w:name="_Toc10854"/>
      <w:r>
        <w:rPr>
          <w:rFonts w:hint="eastAsia" w:ascii="宋体" w:hAnsi="宋体" w:eastAsia="宋体" w:cs="宋体"/>
          <w:sz w:val="24"/>
          <w:highlight w:val="none"/>
          <w:lang w:val="en-US" w:eastAsia="zh-CN"/>
        </w:rPr>
        <w:t>18.1</w:t>
      </w:r>
      <w:r>
        <w:rPr>
          <w:rFonts w:hint="eastAsia" w:ascii="宋体" w:hAnsi="宋体" w:eastAsia="宋体" w:cs="宋体"/>
          <w:sz w:val="24"/>
          <w:highlight w:val="none"/>
        </w:rPr>
        <w:t>成交供应商应按磋商文件要求和成交供应商的磋商响应文件承诺与采购人订立书面合同，合同内容不得超出磋商文件和成交供应商磋商响应文件的范围，也不得再行订立背离合同实质性内容的其他协议。</w:t>
      </w:r>
    </w:p>
    <w:p w14:paraId="4E1B10DC">
      <w:pPr>
        <w:tabs>
          <w:tab w:val="left" w:pos="0"/>
        </w:tabs>
        <w:autoSpaceDE w:val="0"/>
        <w:autoSpaceDN w:val="0"/>
        <w:adjustRightInd w:val="0"/>
        <w:spacing w:line="360" w:lineRule="auto"/>
        <w:ind w:right="32" w:firstLine="480" w:firstLineChars="200"/>
        <w:rPr>
          <w:rFonts w:hint="eastAsia" w:ascii="宋体" w:hAnsi="宋体" w:eastAsia="宋体" w:cs="宋体"/>
          <w:sz w:val="24"/>
          <w:highlight w:val="none"/>
        </w:rPr>
      </w:pPr>
      <w:r>
        <w:rPr>
          <w:rFonts w:hint="eastAsia" w:ascii="宋体" w:hAnsi="宋体" w:eastAsia="宋体" w:cs="宋体"/>
          <w:sz w:val="24"/>
          <w:highlight w:val="none"/>
        </w:rPr>
        <w:t>18.2 成交供应商应在《成交通知书》发出之日起30日历天内与采购人签订合同。</w:t>
      </w:r>
    </w:p>
    <w:p w14:paraId="0CD26466">
      <w:pPr>
        <w:pStyle w:val="12"/>
        <w:tabs>
          <w:tab w:val="left" w:pos="0"/>
        </w:tabs>
        <w:adjustRightInd w:val="0"/>
        <w:spacing w:line="360" w:lineRule="auto"/>
        <w:ind w:firstLine="482" w:firstLineChars="200"/>
        <w:outlineLvl w:val="2"/>
        <w:rPr>
          <w:rFonts w:hint="eastAsia" w:ascii="宋体" w:hAnsi="宋体" w:eastAsia="宋体" w:cs="宋体"/>
          <w:b/>
          <w:kern w:val="0"/>
          <w:sz w:val="24"/>
          <w:szCs w:val="24"/>
          <w:highlight w:val="none"/>
        </w:rPr>
      </w:pPr>
      <w:r>
        <w:rPr>
          <w:rFonts w:hint="eastAsia" w:ascii="宋体" w:hAnsi="宋体" w:eastAsia="宋体" w:cs="宋体"/>
          <w:b/>
          <w:sz w:val="24"/>
          <w:szCs w:val="24"/>
          <w:highlight w:val="none"/>
        </w:rPr>
        <w:t xml:space="preserve">七、 </w:t>
      </w:r>
      <w:r>
        <w:rPr>
          <w:rFonts w:hint="eastAsia" w:ascii="宋体" w:hAnsi="宋体" w:eastAsia="宋体" w:cs="宋体"/>
          <w:b/>
          <w:kern w:val="0"/>
          <w:sz w:val="24"/>
          <w:szCs w:val="24"/>
          <w:highlight w:val="none"/>
        </w:rPr>
        <w:t>公告、</w:t>
      </w:r>
      <w:r>
        <w:rPr>
          <w:rFonts w:hint="eastAsia" w:ascii="宋体" w:hAnsi="宋体" w:eastAsia="宋体" w:cs="宋体"/>
          <w:b/>
          <w:sz w:val="24"/>
          <w:szCs w:val="24"/>
          <w:highlight w:val="none"/>
        </w:rPr>
        <w:t>质疑</w:t>
      </w:r>
      <w:bookmarkEnd w:id="24"/>
      <w:bookmarkEnd w:id="25"/>
    </w:p>
    <w:p w14:paraId="72C1DFBF">
      <w:pPr>
        <w:tabs>
          <w:tab w:val="left" w:pos="0"/>
        </w:tabs>
        <w:autoSpaceDE w:val="0"/>
        <w:autoSpaceDN w:val="0"/>
        <w:adjustRightInd w:val="0"/>
        <w:spacing w:line="360" w:lineRule="auto"/>
        <w:ind w:right="32" w:firstLine="480" w:firstLineChars="200"/>
        <w:rPr>
          <w:rFonts w:hint="eastAsia" w:ascii="宋体" w:hAnsi="宋体" w:eastAsia="宋体" w:cs="宋体"/>
          <w:sz w:val="24"/>
          <w:highlight w:val="none"/>
        </w:rPr>
      </w:pPr>
      <w:bookmarkStart w:id="26" w:name="_Toc23311"/>
      <w:bookmarkStart w:id="27" w:name="_Toc330797719"/>
      <w:r>
        <w:rPr>
          <w:rFonts w:hint="eastAsia" w:ascii="宋体" w:hAnsi="宋体" w:eastAsia="宋体" w:cs="宋体"/>
          <w:sz w:val="24"/>
          <w:highlight w:val="none"/>
        </w:rPr>
        <w:t>19.采购单位首先在医院网站上发布竞争性磋商公告，待磋商结束后，经医院党委会或院长办公会审核决定，在医院网站上公布磋商结果。</w:t>
      </w:r>
    </w:p>
    <w:p w14:paraId="59CA6431">
      <w:pPr>
        <w:tabs>
          <w:tab w:val="left" w:pos="0"/>
        </w:tabs>
        <w:autoSpaceDE w:val="0"/>
        <w:autoSpaceDN w:val="0"/>
        <w:adjustRightInd w:val="0"/>
        <w:spacing w:line="360" w:lineRule="auto"/>
        <w:ind w:right="32" w:firstLine="480" w:firstLineChars="200"/>
        <w:rPr>
          <w:rFonts w:hint="eastAsia" w:ascii="宋体" w:hAnsi="宋体" w:eastAsia="宋体" w:cs="宋体"/>
          <w:sz w:val="24"/>
          <w:highlight w:val="none"/>
        </w:rPr>
      </w:pPr>
      <w:r>
        <w:rPr>
          <w:rFonts w:hint="eastAsia" w:ascii="宋体" w:hAnsi="宋体" w:eastAsia="宋体" w:cs="宋体"/>
          <w:sz w:val="24"/>
          <w:highlight w:val="none"/>
        </w:rPr>
        <w:t>20.如果参加磋商的供应商对此次采购活动有疑问，可依据本文件“磋商须知”第20条的方式，提出质疑。</w:t>
      </w:r>
    </w:p>
    <w:p w14:paraId="1C639CA8">
      <w:pPr>
        <w:tabs>
          <w:tab w:val="left" w:pos="0"/>
        </w:tabs>
        <w:autoSpaceDE w:val="0"/>
        <w:autoSpaceDN w:val="0"/>
        <w:adjustRightInd w:val="0"/>
        <w:spacing w:line="360" w:lineRule="auto"/>
        <w:ind w:right="32"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八、</w:t>
      </w:r>
      <w:bookmarkEnd w:id="26"/>
      <w:bookmarkEnd w:id="27"/>
      <w:bookmarkStart w:id="28" w:name="_Toc26439"/>
      <w:bookmarkStart w:id="29" w:name="_Toc330797720"/>
      <w:r>
        <w:rPr>
          <w:rFonts w:hint="eastAsia" w:ascii="宋体" w:hAnsi="宋体" w:eastAsia="宋体" w:cs="宋体"/>
          <w:b/>
          <w:sz w:val="24"/>
          <w:highlight w:val="none"/>
        </w:rPr>
        <w:t>废标条件</w:t>
      </w:r>
      <w:bookmarkEnd w:id="28"/>
      <w:bookmarkEnd w:id="29"/>
    </w:p>
    <w:p w14:paraId="72B3AA6E">
      <w:pPr>
        <w:tabs>
          <w:tab w:val="left" w:pos="0"/>
        </w:tabs>
        <w:autoSpaceDE w:val="0"/>
        <w:autoSpaceDN w:val="0"/>
        <w:adjustRightInd w:val="0"/>
        <w:spacing w:line="360" w:lineRule="auto"/>
        <w:ind w:right="32" w:firstLine="480" w:firstLineChars="200"/>
        <w:rPr>
          <w:rFonts w:hint="eastAsia" w:ascii="宋体" w:hAnsi="宋体" w:eastAsia="宋体" w:cs="宋体"/>
          <w:sz w:val="24"/>
          <w:highlight w:val="none"/>
        </w:rPr>
      </w:pPr>
      <w:bookmarkStart w:id="30" w:name="_Toc524200259"/>
      <w:bookmarkStart w:id="31" w:name="_Toc524078639"/>
      <w:r>
        <w:rPr>
          <w:rFonts w:hint="eastAsia" w:ascii="宋体" w:hAnsi="宋体" w:eastAsia="宋体" w:cs="宋体"/>
          <w:sz w:val="24"/>
          <w:highlight w:val="none"/>
        </w:rPr>
        <w:t>（1）出现影响采购公正的违法、违规行为；</w:t>
      </w:r>
    </w:p>
    <w:p w14:paraId="402D5728">
      <w:pPr>
        <w:tabs>
          <w:tab w:val="left" w:pos="0"/>
        </w:tabs>
        <w:autoSpaceDE w:val="0"/>
        <w:autoSpaceDN w:val="0"/>
        <w:adjustRightInd w:val="0"/>
        <w:spacing w:line="360" w:lineRule="auto"/>
        <w:ind w:right="32" w:firstLine="480" w:firstLineChars="200"/>
        <w:rPr>
          <w:rFonts w:hint="eastAsia" w:ascii="宋体" w:hAnsi="宋体" w:eastAsia="宋体" w:cs="宋体"/>
          <w:sz w:val="24"/>
          <w:highlight w:val="none"/>
        </w:rPr>
      </w:pPr>
      <w:r>
        <w:rPr>
          <w:rFonts w:hint="eastAsia" w:ascii="宋体" w:hAnsi="宋体" w:eastAsia="宋体" w:cs="宋体"/>
          <w:sz w:val="24"/>
          <w:highlight w:val="none"/>
        </w:rPr>
        <w:t>（2）因重大变故、采购任务取消的；</w:t>
      </w:r>
    </w:p>
    <w:p w14:paraId="6108AC3A">
      <w:pPr>
        <w:tabs>
          <w:tab w:val="left" w:pos="0"/>
        </w:tabs>
        <w:autoSpaceDE w:val="0"/>
        <w:autoSpaceDN w:val="0"/>
        <w:adjustRightInd w:val="0"/>
        <w:spacing w:line="360" w:lineRule="auto"/>
        <w:ind w:right="32" w:firstLine="480" w:firstLineChars="200"/>
        <w:rPr>
          <w:rFonts w:hint="eastAsia" w:ascii="宋体" w:hAnsi="宋体" w:eastAsia="宋体" w:cs="宋体"/>
          <w:sz w:val="24"/>
          <w:highlight w:val="none"/>
        </w:rPr>
      </w:pPr>
      <w:r>
        <w:rPr>
          <w:rFonts w:hint="eastAsia" w:ascii="宋体" w:hAnsi="宋体" w:eastAsia="宋体" w:cs="宋体"/>
          <w:sz w:val="24"/>
          <w:highlight w:val="none"/>
        </w:rPr>
        <w:t>（3）递交响应文件截止时间后，实际参与的供应商不足法定数量的。</w:t>
      </w:r>
    </w:p>
    <w:bookmarkEnd w:id="30"/>
    <w:bookmarkEnd w:id="31"/>
    <w:p w14:paraId="399DC286">
      <w:pPr>
        <w:rPr>
          <w:rFonts w:hint="eastAsia" w:ascii="宋体" w:hAnsi="宋体" w:eastAsia="宋体" w:cs="宋体"/>
          <w:sz w:val="36"/>
          <w:szCs w:val="36"/>
          <w:highlight w:val="none"/>
        </w:rPr>
      </w:pPr>
      <w:r>
        <w:rPr>
          <w:rFonts w:hint="eastAsia" w:ascii="宋体" w:hAnsi="宋体" w:eastAsia="宋体" w:cs="宋体"/>
          <w:sz w:val="36"/>
          <w:szCs w:val="36"/>
          <w:highlight w:val="none"/>
        </w:rPr>
        <w:br w:type="page"/>
      </w:r>
    </w:p>
    <w:p w14:paraId="37A5AF81">
      <w:pPr>
        <w:pStyle w:val="2"/>
        <w:keepNext w:val="0"/>
        <w:spacing w:before="0" w:after="0" w:line="240" w:lineRule="auto"/>
        <w:jc w:val="center"/>
        <w:rPr>
          <w:rFonts w:hint="eastAsia" w:ascii="宋体" w:hAnsi="宋体" w:eastAsia="宋体" w:cs="宋体"/>
          <w:sz w:val="36"/>
          <w:szCs w:val="36"/>
          <w:highlight w:val="none"/>
        </w:rPr>
      </w:pPr>
      <w:bookmarkStart w:id="32" w:name="_Toc17842"/>
      <w:r>
        <w:rPr>
          <w:rFonts w:hint="eastAsia" w:ascii="宋体" w:hAnsi="宋体" w:eastAsia="宋体" w:cs="宋体"/>
          <w:sz w:val="36"/>
          <w:szCs w:val="36"/>
          <w:highlight w:val="none"/>
        </w:rPr>
        <w:t>第三章采购内容及要求</w:t>
      </w:r>
      <w:bookmarkEnd w:id="32"/>
    </w:p>
    <w:p w14:paraId="0788DE93">
      <w:pPr>
        <w:pStyle w:val="4"/>
        <w:spacing w:before="0" w:after="0" w:line="360" w:lineRule="auto"/>
        <w:ind w:firstLine="481"/>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一、项目概况</w:t>
      </w:r>
    </w:p>
    <w:tbl>
      <w:tblPr>
        <w:tblStyle w:val="23"/>
        <w:tblW w:w="86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4"/>
        <w:gridCol w:w="5235"/>
        <w:gridCol w:w="1286"/>
        <w:gridCol w:w="1356"/>
      </w:tblGrid>
      <w:tr w14:paraId="64743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744" w:type="dxa"/>
            <w:vAlign w:val="center"/>
          </w:tcPr>
          <w:p w14:paraId="70A1E5E6">
            <w:pPr>
              <w:pStyle w:val="16"/>
              <w:pBdr>
                <w:bottom w:val="none" w:color="auto" w:sz="0" w:space="0"/>
              </w:pBdr>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序号</w:t>
            </w:r>
          </w:p>
        </w:tc>
        <w:tc>
          <w:tcPr>
            <w:tcW w:w="5235" w:type="dxa"/>
            <w:vAlign w:val="center"/>
          </w:tcPr>
          <w:p w14:paraId="3C806172">
            <w:pPr>
              <w:pStyle w:val="16"/>
              <w:pBdr>
                <w:bottom w:val="none" w:color="auto" w:sz="0" w:space="0"/>
              </w:pBd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内容</w:t>
            </w:r>
          </w:p>
        </w:tc>
        <w:tc>
          <w:tcPr>
            <w:tcW w:w="1286" w:type="dxa"/>
            <w:vAlign w:val="center"/>
          </w:tcPr>
          <w:p w14:paraId="38D48038">
            <w:pPr>
              <w:pStyle w:val="16"/>
              <w:pBdr>
                <w:bottom w:val="none" w:color="auto" w:sz="0" w:space="0"/>
              </w:pBd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入围单位数量</w:t>
            </w:r>
          </w:p>
        </w:tc>
        <w:tc>
          <w:tcPr>
            <w:tcW w:w="1356" w:type="dxa"/>
            <w:vAlign w:val="center"/>
          </w:tcPr>
          <w:p w14:paraId="756B805D">
            <w:pPr>
              <w:pStyle w:val="16"/>
              <w:pBdr>
                <w:bottom w:val="none" w:color="auto" w:sz="0" w:space="0"/>
              </w:pBd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代理项目预算金额</w:t>
            </w:r>
          </w:p>
        </w:tc>
      </w:tr>
      <w:tr w14:paraId="12FC5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744" w:type="dxa"/>
            <w:vAlign w:val="center"/>
          </w:tcPr>
          <w:p w14:paraId="20C58693">
            <w:pPr>
              <w:pStyle w:val="16"/>
              <w:pBdr>
                <w:bottom w:val="none" w:color="auto" w:sz="0" w:space="0"/>
              </w:pBd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w:t>
            </w:r>
          </w:p>
        </w:tc>
        <w:tc>
          <w:tcPr>
            <w:tcW w:w="5235" w:type="dxa"/>
            <w:vAlign w:val="center"/>
          </w:tcPr>
          <w:p w14:paraId="55B379AA">
            <w:pPr>
              <w:pStyle w:val="16"/>
              <w:pBdr>
                <w:bottom w:val="none" w:color="auto" w:sz="0" w:space="0"/>
              </w:pBd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医疗业务相关项目招标代理机构</w:t>
            </w:r>
          </w:p>
          <w:p w14:paraId="1321CC4C">
            <w:pPr>
              <w:pStyle w:val="16"/>
              <w:pBdr>
                <w:bottom w:val="none" w:color="auto" w:sz="0" w:space="0"/>
              </w:pBd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（主要从事医疗设备、工程及服务的招标代理）</w:t>
            </w:r>
          </w:p>
        </w:tc>
        <w:tc>
          <w:tcPr>
            <w:tcW w:w="1286" w:type="dxa"/>
            <w:vAlign w:val="center"/>
          </w:tcPr>
          <w:p w14:paraId="1B55D499">
            <w:pPr>
              <w:pStyle w:val="16"/>
              <w:pBdr>
                <w:bottom w:val="none" w:color="auto" w:sz="0" w:space="0"/>
              </w:pBd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1356" w:type="dxa"/>
            <w:vAlign w:val="center"/>
          </w:tcPr>
          <w:p w14:paraId="56306CA7">
            <w:pPr>
              <w:pStyle w:val="16"/>
              <w:pBdr>
                <w:bottom w:val="none" w:color="auto" w:sz="0" w:space="0"/>
              </w:pBd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不限</w:t>
            </w:r>
          </w:p>
        </w:tc>
      </w:tr>
    </w:tbl>
    <w:p w14:paraId="12218797">
      <w:pPr>
        <w:pStyle w:val="4"/>
        <w:spacing w:before="0" w:after="0" w:line="360" w:lineRule="auto"/>
        <w:ind w:firstLine="481"/>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二、服务内容</w:t>
      </w:r>
    </w:p>
    <w:p w14:paraId="32AC2D0E">
      <w:pPr>
        <w:pStyle w:val="10"/>
        <w:ind w:left="0" w:firstLine="480" w:firstLineChars="200"/>
        <w:rPr>
          <w:rFonts w:hint="eastAsia" w:ascii="宋体" w:hAnsi="宋体" w:eastAsia="宋体" w:cs="宋体"/>
          <w:highlight w:val="none"/>
        </w:rPr>
      </w:pPr>
      <w:r>
        <w:rPr>
          <w:rFonts w:hint="eastAsia" w:ascii="宋体" w:hAnsi="宋体" w:eastAsia="宋体" w:cs="宋体"/>
          <w:kern w:val="2"/>
          <w:highlight w:val="none"/>
        </w:rPr>
        <w:t>我院通过本次招标择优选取社会招标代理机构入围，入围代理机构将为我院完成各类采购代理服务，包括但不限于策划采购方案、编制采购文件、发布采购公告或邀请、组织采购评审或谈判、提供行业信息咨询、法律法规最新政策宣教以及办理和采购有关的各项工作等。</w:t>
      </w:r>
    </w:p>
    <w:p w14:paraId="3C687F1E">
      <w:pPr>
        <w:pStyle w:val="4"/>
        <w:spacing w:before="0" w:after="0" w:line="360" w:lineRule="auto"/>
        <w:ind w:firstLine="481"/>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三、服务要求</w:t>
      </w:r>
    </w:p>
    <w:p w14:paraId="4E9EB2EA">
      <w:pPr>
        <w:spacing w:line="360" w:lineRule="auto"/>
        <w:ind w:right="105" w:rightChars="50" w:firstLine="480" w:firstLineChars="200"/>
        <w:rPr>
          <w:rFonts w:hint="eastAsia" w:ascii="宋体" w:hAnsi="宋体" w:eastAsia="宋体" w:cs="宋体"/>
          <w:sz w:val="24"/>
          <w:highlight w:val="none"/>
        </w:rPr>
      </w:pPr>
      <w:r>
        <w:rPr>
          <w:rFonts w:hint="eastAsia" w:ascii="宋体" w:hAnsi="宋体" w:eastAsia="宋体" w:cs="宋体"/>
          <w:sz w:val="24"/>
          <w:highlight w:val="none"/>
        </w:rPr>
        <w:t>1、招标代理机构接受医院委托期间,须严格按照国家现行的有关法律法规组织医院委托项目的招标采购,精心设计和组织招标采购工作,提供优质的招标代理服务，降低委托项目的招投标风险；</w:t>
      </w:r>
    </w:p>
    <w:p w14:paraId="5DF9127E">
      <w:pPr>
        <w:spacing w:line="360" w:lineRule="auto"/>
        <w:ind w:right="105" w:rightChars="50" w:firstLine="480" w:firstLineChars="200"/>
        <w:rPr>
          <w:rFonts w:hint="eastAsia" w:ascii="宋体" w:hAnsi="宋体" w:eastAsia="宋体" w:cs="宋体"/>
          <w:sz w:val="24"/>
          <w:highlight w:val="none"/>
        </w:rPr>
      </w:pPr>
      <w:r>
        <w:rPr>
          <w:rFonts w:hint="eastAsia" w:ascii="宋体" w:hAnsi="宋体" w:eastAsia="宋体" w:cs="宋体"/>
          <w:sz w:val="24"/>
          <w:highlight w:val="none"/>
        </w:rPr>
        <w:t>2、招标代理机构须对我院提供国家相关政府采购和招投标法律法规最新政策，并及时做好宣教工作；</w:t>
      </w:r>
    </w:p>
    <w:p w14:paraId="7737B157">
      <w:pPr>
        <w:spacing w:line="360" w:lineRule="auto"/>
        <w:ind w:right="105" w:rightChars="50" w:firstLine="480" w:firstLineChars="200"/>
        <w:rPr>
          <w:rFonts w:hint="eastAsia" w:ascii="宋体" w:hAnsi="宋体" w:eastAsia="宋体" w:cs="宋体"/>
          <w:sz w:val="24"/>
          <w:highlight w:val="none"/>
        </w:rPr>
      </w:pPr>
      <w:r>
        <w:rPr>
          <w:rFonts w:hint="eastAsia" w:ascii="宋体" w:hAnsi="宋体" w:eastAsia="宋体" w:cs="宋体"/>
          <w:sz w:val="24"/>
          <w:highlight w:val="none"/>
        </w:rPr>
        <w:t>3、招标代理机构必须委派专人专班与我院对接和处理招标过程中的相关事宜，若更换项目联系人需提前7天告知我院；</w:t>
      </w:r>
    </w:p>
    <w:p w14:paraId="7462D157">
      <w:pPr>
        <w:spacing w:line="360" w:lineRule="auto"/>
        <w:ind w:right="105" w:rightChars="50" w:firstLine="480" w:firstLineChars="200"/>
        <w:rPr>
          <w:rFonts w:hint="eastAsia" w:ascii="宋体" w:hAnsi="宋体" w:eastAsia="宋体" w:cs="宋体"/>
          <w:sz w:val="24"/>
          <w:highlight w:val="none"/>
        </w:rPr>
      </w:pPr>
      <w:r>
        <w:rPr>
          <w:rFonts w:hint="eastAsia" w:ascii="宋体" w:hAnsi="宋体" w:eastAsia="宋体" w:cs="宋体"/>
          <w:sz w:val="24"/>
          <w:highlight w:val="none"/>
          <w:lang w:val="en-US" w:eastAsia="zh-CN"/>
        </w:rPr>
        <w:t>4</w:t>
      </w:r>
      <w:r>
        <w:rPr>
          <w:rFonts w:hint="eastAsia" w:ascii="宋体" w:hAnsi="宋体" w:eastAsia="宋体" w:cs="宋体"/>
          <w:sz w:val="24"/>
          <w:highlight w:val="none"/>
        </w:rPr>
        <w:t>、招标代理机构在接收我院委托项目的技术参数及要求、服务内容等采购需求后，编制招标文件，根据项目的技术复杂程度，需在2-5个工作日内完成招标文件初稿；</w:t>
      </w:r>
    </w:p>
    <w:p w14:paraId="6244B28E">
      <w:pPr>
        <w:spacing w:line="360" w:lineRule="auto"/>
        <w:ind w:right="105" w:rightChars="50" w:firstLine="480" w:firstLineChars="200"/>
        <w:rPr>
          <w:rFonts w:hint="eastAsia" w:ascii="宋体" w:hAnsi="宋体" w:eastAsia="宋体" w:cs="宋体"/>
          <w:sz w:val="24"/>
          <w:highlight w:val="none"/>
        </w:rPr>
      </w:pPr>
      <w:r>
        <w:rPr>
          <w:rFonts w:hint="eastAsia" w:ascii="宋体" w:hAnsi="宋体" w:eastAsia="宋体" w:cs="宋体"/>
          <w:sz w:val="24"/>
          <w:highlight w:val="none"/>
        </w:rPr>
        <w:t>6、委托项目经我院审核同意后,招标代理机构方可将我院委托项目的招标公告、招标文件、结果公告、中标通知书等信息对外发布；</w:t>
      </w:r>
    </w:p>
    <w:p w14:paraId="7D9BCD92">
      <w:pPr>
        <w:spacing w:line="360" w:lineRule="auto"/>
        <w:ind w:right="105" w:rightChars="50" w:firstLine="480" w:firstLineChars="200"/>
        <w:rPr>
          <w:rFonts w:hint="eastAsia" w:ascii="宋体" w:hAnsi="宋体" w:eastAsia="宋体" w:cs="宋体"/>
          <w:sz w:val="24"/>
          <w:highlight w:val="none"/>
        </w:rPr>
      </w:pPr>
      <w:r>
        <w:rPr>
          <w:rFonts w:hint="eastAsia" w:ascii="宋体" w:hAnsi="宋体" w:eastAsia="宋体" w:cs="宋体"/>
          <w:sz w:val="24"/>
          <w:highlight w:val="none"/>
        </w:rPr>
        <w:t>7、招标代理机构必须及时向我院汇报委托项目的招标计划和进度；</w:t>
      </w:r>
    </w:p>
    <w:p w14:paraId="6D317E89">
      <w:pPr>
        <w:spacing w:line="360" w:lineRule="auto"/>
        <w:ind w:right="105" w:rightChars="50" w:firstLine="480" w:firstLineChars="200"/>
        <w:rPr>
          <w:rFonts w:hint="eastAsia" w:ascii="宋体" w:hAnsi="宋体" w:eastAsia="宋体" w:cs="宋体"/>
          <w:sz w:val="24"/>
          <w:highlight w:val="none"/>
        </w:rPr>
      </w:pPr>
      <w:r>
        <w:rPr>
          <w:rFonts w:hint="eastAsia" w:ascii="宋体" w:hAnsi="宋体" w:eastAsia="宋体" w:cs="宋体"/>
          <w:sz w:val="24"/>
          <w:highlight w:val="none"/>
        </w:rPr>
        <w:t>8、委托项目开标前三天内,招标代理机构须通过短信、电话等形式通知我院工作人员参加开标、评标等相关事项；</w:t>
      </w:r>
    </w:p>
    <w:p w14:paraId="6D789903">
      <w:pPr>
        <w:spacing w:line="360" w:lineRule="auto"/>
        <w:ind w:right="105" w:rightChars="50" w:firstLine="480" w:firstLineChars="200"/>
        <w:rPr>
          <w:rFonts w:hint="eastAsia" w:ascii="宋体" w:hAnsi="宋体" w:eastAsia="宋体" w:cs="宋体"/>
          <w:sz w:val="24"/>
          <w:highlight w:val="none"/>
        </w:rPr>
      </w:pPr>
      <w:r>
        <w:rPr>
          <w:rFonts w:hint="eastAsia" w:ascii="宋体" w:hAnsi="宋体" w:eastAsia="宋体" w:cs="宋体"/>
          <w:sz w:val="24"/>
          <w:highlight w:val="none"/>
        </w:rPr>
        <w:t>9、招投标活动中若发生质疑或投诉,招标代理机构需充分发挥专业水平,处理相关质疑或投拆，并经我院认可；</w:t>
      </w:r>
    </w:p>
    <w:p w14:paraId="1153A9E7">
      <w:pPr>
        <w:spacing w:line="360" w:lineRule="auto"/>
        <w:ind w:right="105" w:rightChars="50" w:firstLine="480" w:firstLineChars="200"/>
        <w:rPr>
          <w:rFonts w:hint="eastAsia" w:ascii="宋体" w:hAnsi="宋体" w:eastAsia="宋体" w:cs="宋体"/>
          <w:sz w:val="24"/>
          <w:highlight w:val="none"/>
        </w:rPr>
      </w:pPr>
      <w:r>
        <w:rPr>
          <w:rFonts w:hint="eastAsia" w:ascii="宋体" w:hAnsi="宋体" w:eastAsia="宋体" w:cs="宋体"/>
          <w:sz w:val="24"/>
          <w:highlight w:val="none"/>
        </w:rPr>
        <w:t>10、委托项目完成后，招标代理机构须按我院要求提交完整的招投标相关材料；</w:t>
      </w:r>
    </w:p>
    <w:p w14:paraId="239A06DA">
      <w:pPr>
        <w:spacing w:line="360" w:lineRule="auto"/>
        <w:ind w:right="105" w:rightChars="50" w:firstLine="480" w:firstLineChars="200"/>
        <w:rPr>
          <w:rFonts w:hint="eastAsia" w:ascii="宋体" w:hAnsi="宋体" w:eastAsia="宋体" w:cs="宋体"/>
          <w:sz w:val="24"/>
          <w:highlight w:val="none"/>
        </w:rPr>
      </w:pPr>
      <w:r>
        <w:rPr>
          <w:rFonts w:hint="eastAsia" w:ascii="宋体" w:hAnsi="宋体" w:eastAsia="宋体" w:cs="宋体"/>
          <w:sz w:val="24"/>
          <w:highlight w:val="none"/>
        </w:rPr>
        <w:t>11、招标代理机构有义务协助我院完善委托项目中标后工作；</w:t>
      </w:r>
    </w:p>
    <w:p w14:paraId="17560E99">
      <w:pPr>
        <w:spacing w:line="360" w:lineRule="auto"/>
        <w:ind w:right="105" w:rightChars="50" w:firstLine="480" w:firstLineChars="200"/>
        <w:rPr>
          <w:rFonts w:hint="eastAsia" w:ascii="宋体" w:hAnsi="宋体" w:eastAsia="宋体" w:cs="宋体"/>
          <w:sz w:val="24"/>
          <w:highlight w:val="none"/>
        </w:rPr>
      </w:pPr>
      <w:r>
        <w:rPr>
          <w:rFonts w:hint="eastAsia" w:ascii="宋体" w:hAnsi="宋体" w:eastAsia="宋体" w:cs="宋体"/>
          <w:sz w:val="24"/>
          <w:highlight w:val="none"/>
        </w:rPr>
        <w:t>12、招标代理机构严格做好职业操守，保守采购活动中商业秘密，若发现招标代理机构有泄漏商业秘密或间接违规操作采购活动，我院有权终止委托代理并追究相关法律责任；</w:t>
      </w:r>
    </w:p>
    <w:p w14:paraId="65B4471E">
      <w:pPr>
        <w:spacing w:line="360" w:lineRule="auto"/>
        <w:ind w:right="105" w:rightChars="50" w:firstLine="480" w:firstLineChars="200"/>
        <w:rPr>
          <w:rFonts w:hint="eastAsia" w:ascii="宋体" w:hAnsi="宋体" w:eastAsia="宋体" w:cs="宋体"/>
          <w:sz w:val="24"/>
          <w:highlight w:val="none"/>
        </w:rPr>
      </w:pPr>
      <w:r>
        <w:rPr>
          <w:rFonts w:hint="eastAsia" w:ascii="宋体" w:hAnsi="宋体" w:eastAsia="宋体" w:cs="宋体"/>
          <w:sz w:val="24"/>
          <w:highlight w:val="none"/>
        </w:rPr>
        <w:t>13、招标代理机构具有专业的招标业务团队，具有较丰富的政府采购业务招标操作经验，能够独立承接项目工作；具有较高的专业素养，熟悉政府采购相关法律、法规、规章制度，能提供专业化服务；具有较强的应变能力和交流沟通能力，能较好地处理招标代理工作中的复杂问题；</w:t>
      </w:r>
    </w:p>
    <w:p w14:paraId="041BD81D">
      <w:pPr>
        <w:spacing w:line="360" w:lineRule="auto"/>
        <w:ind w:right="105" w:rightChars="50" w:firstLine="480" w:firstLineChars="200"/>
        <w:rPr>
          <w:rFonts w:hint="eastAsia" w:ascii="宋体" w:hAnsi="宋体" w:eastAsia="宋体" w:cs="宋体"/>
          <w:sz w:val="24"/>
          <w:highlight w:val="none"/>
        </w:rPr>
      </w:pPr>
      <w:r>
        <w:rPr>
          <w:rFonts w:hint="eastAsia" w:ascii="宋体" w:hAnsi="宋体" w:eastAsia="宋体" w:cs="宋体"/>
          <w:sz w:val="24"/>
          <w:highlight w:val="none"/>
        </w:rPr>
        <w:t>14、我院有权对入围的招标代理机构进行监督和定期考核，对一次考核不合格的招标代理机构给予警告，并要求其及时整改；对三次不合格的招标代理机构我院有权终止与本公司的合作；考核最终结果将直接影响与其委托代理合作率。在履约过程中，对我院招标管理工作造成了一定影响或损失的，我院将追究其法律责任。</w:t>
      </w:r>
    </w:p>
    <w:p w14:paraId="368EEF22">
      <w:pPr>
        <w:pStyle w:val="4"/>
        <w:spacing w:before="0" w:after="0" w:line="360" w:lineRule="auto"/>
        <w:ind w:firstLine="481"/>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四、招标代理机构在代理活动中不得有以下行为：</w:t>
      </w:r>
    </w:p>
    <w:p w14:paraId="6C52F4F4">
      <w:pPr>
        <w:spacing w:before="0" w:after="0" w:line="360" w:lineRule="auto"/>
        <w:ind w:firstLine="481"/>
        <w:jc w:val="left"/>
        <w:outlineLvl w:val="9"/>
        <w:rPr>
          <w:rFonts w:hint="eastAsia" w:ascii="宋体" w:hAnsi="宋体" w:eastAsia="宋体" w:cs="宋体"/>
          <w:b w:val="0"/>
          <w:bCs w:val="0"/>
          <w:sz w:val="24"/>
          <w:highlight w:val="none"/>
        </w:rPr>
      </w:pPr>
      <w:r>
        <w:rPr>
          <w:rFonts w:hint="eastAsia" w:ascii="宋体" w:hAnsi="宋体" w:eastAsia="宋体" w:cs="宋体"/>
          <w:b w:val="0"/>
          <w:bCs w:val="0"/>
          <w:sz w:val="24"/>
          <w:highlight w:val="none"/>
        </w:rPr>
        <w:t>1、与供应商有隶属关系、合作经营关系以及其他利益关系；</w:t>
      </w:r>
    </w:p>
    <w:p w14:paraId="3E1431C4">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2、从事与代理项目有关的投标咨询活动；</w:t>
      </w:r>
    </w:p>
    <w:p w14:paraId="3DE6472B">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3、向他人转让代理业务；</w:t>
      </w:r>
    </w:p>
    <w:p w14:paraId="1AA8BCDD">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4、超越资格许可范围或超越委托合同约定的内容实施代理；</w:t>
      </w:r>
    </w:p>
    <w:p w14:paraId="13597F95">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5、与供应商串通，损害采购人合法权益；</w:t>
      </w:r>
    </w:p>
    <w:p w14:paraId="38F73EAC">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6、不遵循法律法规规定的招投标程序实施代理；</w:t>
      </w:r>
    </w:p>
    <w:p w14:paraId="7C8F885D">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7、泄露应当保密的与招标投标活动有关的情况和资料；</w:t>
      </w:r>
    </w:p>
    <w:p w14:paraId="3F652190">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8、不接受采购人委派的监督小组对招标、投标活动的监督；</w:t>
      </w:r>
    </w:p>
    <w:p w14:paraId="1DFF3419">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9、接受监督检查或汇报工作时，弄虚作假、隐瞒事实真相；</w:t>
      </w:r>
    </w:p>
    <w:p w14:paraId="36386B92">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10、法律、法规和规章禁止的其他行为。</w:t>
      </w:r>
      <w:bookmarkStart w:id="33" w:name="_Toc18356"/>
      <w:bookmarkStart w:id="34" w:name="_Toc365387627"/>
    </w:p>
    <w:p w14:paraId="76C247C1">
      <w:pPr>
        <w:pStyle w:val="4"/>
        <w:spacing w:before="0" w:after="0" w:line="360" w:lineRule="auto"/>
        <w:ind w:firstLine="481"/>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五、招标代理服务费报价及说明</w:t>
      </w:r>
      <w:bookmarkEnd w:id="33"/>
    </w:p>
    <w:p w14:paraId="7D8F0E0B">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1、按照收费标准的折扣报价</w:t>
      </w:r>
      <w:bookmarkEnd w:id="34"/>
      <w:r>
        <w:rPr>
          <w:rFonts w:hint="eastAsia" w:ascii="宋体" w:hAnsi="宋体" w:eastAsia="宋体" w:cs="宋体"/>
          <w:sz w:val="24"/>
          <w:highlight w:val="none"/>
        </w:rPr>
        <w:t>，即参照原国家计委关于印发《招标代理服务收费管理暂行办法》（计价格[2002]1980号）的规定，按照收费标准的</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（%）向中标/成交供应商收取代理费。（折扣应为定值，不允许有区间范围，否则视为无效报价。）</w:t>
      </w:r>
    </w:p>
    <w:p w14:paraId="7CDF8B5F">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代理费包含采购项目全过程（包括但不限于采购文件编制、组织专家对政府采购项目的采购需求和实施计划进行审查并出具审查报告、公告上网、组织开标、评标、定标、协助处理质疑，配合投诉处理、发出中标/成交通知书、整理档案、资料汇编、以及办理与该项目相关的各种手续等相关业务的直接成本、人员成本、利润、税金，办公费、场地费等费用）。</w:t>
      </w:r>
    </w:p>
    <w:p w14:paraId="633043E6">
      <w:pPr>
        <w:spacing w:line="360" w:lineRule="auto"/>
        <w:ind w:firstLine="480" w:firstLineChars="200"/>
        <w:rPr>
          <w:rFonts w:hint="eastAsia" w:ascii="宋体" w:hAnsi="宋体" w:eastAsia="宋体" w:cs="宋体"/>
          <w:color w:val="FF0000"/>
          <w:sz w:val="24"/>
          <w:highlight w:val="none"/>
        </w:rPr>
      </w:pPr>
      <w:bookmarkStart w:id="35" w:name="_Toc25186"/>
      <w:r>
        <w:rPr>
          <w:rFonts w:hint="eastAsia" w:ascii="宋体" w:hAnsi="宋体" w:eastAsia="宋体" w:cs="宋体"/>
          <w:color w:val="FF0000"/>
          <w:sz w:val="24"/>
          <w:highlight w:val="none"/>
        </w:rPr>
        <w:t>3、代理服务费收费标准：按照“国家发展计划委员会计价格【2002】1980号文”及“发改价格【2011】534号文”的收费标准乘以招标代理机构的报价折扣，单次采购代理服务费金额低于</w:t>
      </w:r>
      <w:r>
        <w:rPr>
          <w:rFonts w:hint="eastAsia" w:ascii="宋体" w:hAnsi="宋体" w:eastAsia="宋体" w:cs="宋体"/>
          <w:color w:val="FF0000"/>
          <w:sz w:val="24"/>
          <w:highlight w:val="none"/>
          <w:lang w:val="en-US" w:eastAsia="zh-CN"/>
        </w:rPr>
        <w:t>3000</w:t>
      </w:r>
      <w:r>
        <w:rPr>
          <w:rFonts w:hint="eastAsia" w:ascii="宋体" w:hAnsi="宋体" w:eastAsia="宋体" w:cs="宋体"/>
          <w:color w:val="FF0000"/>
          <w:sz w:val="24"/>
          <w:highlight w:val="none"/>
        </w:rPr>
        <w:t>元的，按</w:t>
      </w:r>
      <w:r>
        <w:rPr>
          <w:rFonts w:hint="eastAsia" w:ascii="宋体" w:hAnsi="宋体" w:eastAsia="宋体" w:cs="宋体"/>
          <w:color w:val="FF0000"/>
          <w:sz w:val="24"/>
          <w:highlight w:val="none"/>
          <w:lang w:val="en-US" w:eastAsia="zh-CN"/>
        </w:rPr>
        <w:t>3000</w:t>
      </w:r>
      <w:r>
        <w:rPr>
          <w:rFonts w:hint="eastAsia" w:ascii="宋体" w:hAnsi="宋体" w:eastAsia="宋体" w:cs="宋体"/>
          <w:color w:val="FF0000"/>
          <w:sz w:val="24"/>
          <w:highlight w:val="none"/>
        </w:rPr>
        <w:t>元人民币计取</w:t>
      </w:r>
      <w:r>
        <w:rPr>
          <w:rFonts w:hint="eastAsia" w:ascii="宋体" w:hAnsi="宋体" w:eastAsia="宋体" w:cs="宋体"/>
          <w:color w:val="FF0000"/>
          <w:sz w:val="24"/>
          <w:highlight w:val="none"/>
          <w:lang w:eastAsia="zh-CN"/>
        </w:rPr>
        <w:t>，</w:t>
      </w:r>
      <w:r>
        <w:rPr>
          <w:rFonts w:hint="eastAsia" w:ascii="宋体" w:hAnsi="宋体" w:eastAsia="宋体" w:cs="宋体"/>
          <w:color w:val="FF0000"/>
          <w:sz w:val="24"/>
          <w:highlight w:val="none"/>
        </w:rPr>
        <w:t>由后期招标项目的中标人支付费用给招标代理机构。</w:t>
      </w:r>
    </w:p>
    <w:p w14:paraId="6421896D">
      <w:pPr>
        <w:spacing w:line="360" w:lineRule="auto"/>
        <w:ind w:firstLine="480" w:firstLineChars="200"/>
        <w:rPr>
          <w:rFonts w:hint="default" w:ascii="宋体" w:hAnsi="宋体" w:eastAsia="宋体" w:cs="宋体"/>
          <w:color w:val="FF0000"/>
          <w:sz w:val="24"/>
          <w:highlight w:val="none"/>
          <w:lang w:val="en-US" w:eastAsia="zh-CN"/>
        </w:rPr>
      </w:pPr>
      <w:r>
        <w:rPr>
          <w:rFonts w:hint="eastAsia" w:ascii="宋体" w:hAnsi="宋体" w:eastAsia="宋体" w:cs="宋体"/>
          <w:color w:val="FF0000"/>
          <w:sz w:val="24"/>
          <w:highlight w:val="none"/>
          <w:lang w:val="en-US" w:eastAsia="zh-CN"/>
        </w:rPr>
        <w:t>4.最高限价：报价折扣最高限价为五折（即50%）。报价高于最高限价折扣的都视作不满足项目报价要求。</w:t>
      </w:r>
    </w:p>
    <w:p w14:paraId="053021FB">
      <w:pPr>
        <w:pStyle w:val="4"/>
        <w:spacing w:before="0" w:after="0" w:line="360" w:lineRule="auto"/>
        <w:ind w:firstLine="481"/>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六、招标代理机构的管理</w:t>
      </w:r>
      <w:bookmarkEnd w:id="35"/>
    </w:p>
    <w:p w14:paraId="62F612B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eastAsia="zh-CN"/>
        </w:rPr>
        <w:t>洪湖市人民医院</w:t>
      </w:r>
      <w:r>
        <w:rPr>
          <w:rFonts w:hint="eastAsia" w:ascii="宋体" w:hAnsi="宋体" w:eastAsia="宋体" w:cs="宋体"/>
          <w:color w:val="auto"/>
          <w:sz w:val="24"/>
          <w:highlight w:val="none"/>
        </w:rPr>
        <w:t>招标采购</w:t>
      </w:r>
      <w:r>
        <w:rPr>
          <w:rFonts w:hint="eastAsia" w:ascii="宋体" w:hAnsi="宋体" w:eastAsia="宋体" w:cs="宋体"/>
          <w:color w:val="auto"/>
          <w:sz w:val="24"/>
          <w:highlight w:val="none"/>
          <w:lang w:val="en-US" w:eastAsia="zh-CN"/>
        </w:rPr>
        <w:t>专员</w:t>
      </w:r>
      <w:r>
        <w:rPr>
          <w:rFonts w:hint="eastAsia" w:ascii="宋体" w:hAnsi="宋体" w:eastAsia="宋体" w:cs="宋体"/>
          <w:color w:val="auto"/>
          <w:sz w:val="24"/>
          <w:highlight w:val="none"/>
        </w:rPr>
        <w:t>负责管理入围的招标代理机构。</w:t>
      </w:r>
    </w:p>
    <w:p w14:paraId="248A0876">
      <w:pPr>
        <w:widowControl/>
        <w:shd w:val="clear" w:color="auto" w:fill="FFFFFF"/>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2、入围的招标代理机构委派的项目负责人必须经验丰富，对法规政策方向把握准确，服务态度优良，反馈及时，项目执行优质高效。</w:t>
      </w:r>
    </w:p>
    <w:p w14:paraId="1E7F832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3、入围的招标代理机构有义务对</w:t>
      </w:r>
      <w:r>
        <w:rPr>
          <w:rFonts w:hint="eastAsia" w:ascii="宋体" w:hAnsi="宋体" w:eastAsia="宋体" w:cs="宋体"/>
          <w:color w:val="auto"/>
          <w:sz w:val="24"/>
          <w:highlight w:val="none"/>
          <w:lang w:eastAsia="zh-CN"/>
        </w:rPr>
        <w:t>洪湖市人民医院</w:t>
      </w:r>
      <w:r>
        <w:rPr>
          <w:rFonts w:hint="eastAsia" w:ascii="宋体" w:hAnsi="宋体" w:eastAsia="宋体" w:cs="宋体"/>
          <w:color w:val="auto"/>
          <w:sz w:val="24"/>
          <w:highlight w:val="none"/>
        </w:rPr>
        <w:t>参与采购的人员进行业务指导与培训。</w:t>
      </w:r>
    </w:p>
    <w:p w14:paraId="0B78D8F3">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4、相关委托事宜由</w:t>
      </w:r>
      <w:r>
        <w:rPr>
          <w:rFonts w:hint="eastAsia" w:ascii="宋体" w:hAnsi="宋体" w:eastAsia="宋体" w:cs="宋体"/>
          <w:color w:val="auto"/>
          <w:sz w:val="24"/>
          <w:highlight w:val="none"/>
          <w:lang w:eastAsia="zh-CN"/>
        </w:rPr>
        <w:t>洪湖市人民医院</w:t>
      </w:r>
      <w:r>
        <w:rPr>
          <w:rFonts w:hint="eastAsia" w:ascii="宋体" w:hAnsi="宋体" w:eastAsia="宋体" w:cs="宋体"/>
          <w:color w:val="auto"/>
          <w:sz w:val="24"/>
          <w:highlight w:val="none"/>
        </w:rPr>
        <w:t>招标采购</w:t>
      </w:r>
      <w:r>
        <w:rPr>
          <w:rFonts w:hint="eastAsia" w:ascii="宋体" w:hAnsi="宋体" w:eastAsia="宋体" w:cs="宋体"/>
          <w:color w:val="auto"/>
          <w:sz w:val="24"/>
          <w:highlight w:val="none"/>
          <w:lang w:val="en-US" w:eastAsia="zh-CN"/>
        </w:rPr>
        <w:t>专员</w:t>
      </w:r>
      <w:r>
        <w:rPr>
          <w:rFonts w:hint="eastAsia" w:ascii="宋体" w:hAnsi="宋体" w:eastAsia="宋体" w:cs="宋体"/>
          <w:color w:val="auto"/>
          <w:sz w:val="24"/>
          <w:highlight w:val="none"/>
        </w:rPr>
        <w:t>负责。</w:t>
      </w:r>
    </w:p>
    <w:p w14:paraId="0A5F321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5、每年度由采购人对本次入围的代理机构进行综合评价考核，考核不合格的代理机构，采购人有权不续签合同，并通过考察、决策方式增补其他代理机构进行代替。</w:t>
      </w:r>
    </w:p>
    <w:p w14:paraId="54F2D7D7">
      <w:pPr>
        <w:rPr>
          <w:rFonts w:hint="eastAsia" w:ascii="宋体" w:hAnsi="宋体" w:eastAsia="宋体" w:cs="宋体"/>
          <w:color w:val="000000" w:themeColor="text1"/>
          <w:sz w:val="36"/>
          <w:szCs w:val="36"/>
          <w:highlight w:val="none"/>
          <w14:textFill>
            <w14:solidFill>
              <w14:schemeClr w14:val="tx1"/>
            </w14:solidFill>
          </w14:textFill>
        </w:rPr>
      </w:pPr>
      <w:bookmarkStart w:id="36" w:name="_Toc524200260"/>
      <w:r>
        <w:rPr>
          <w:rFonts w:hint="eastAsia" w:ascii="宋体" w:hAnsi="宋体" w:eastAsia="宋体" w:cs="宋体"/>
          <w:color w:val="000000" w:themeColor="text1"/>
          <w:sz w:val="36"/>
          <w:szCs w:val="36"/>
          <w:highlight w:val="none"/>
          <w14:textFill>
            <w14:solidFill>
              <w14:schemeClr w14:val="tx1"/>
            </w14:solidFill>
          </w14:textFill>
        </w:rPr>
        <w:br w:type="page"/>
      </w:r>
    </w:p>
    <w:p w14:paraId="18DA44AF">
      <w:pPr>
        <w:pStyle w:val="2"/>
        <w:keepNext w:val="0"/>
        <w:spacing w:before="0" w:after="0" w:line="240" w:lineRule="auto"/>
        <w:jc w:val="center"/>
        <w:rPr>
          <w:rFonts w:hint="eastAsia" w:ascii="宋体" w:hAnsi="宋体" w:eastAsia="宋体" w:cs="宋体"/>
          <w:color w:val="FF0000"/>
          <w:sz w:val="36"/>
          <w:szCs w:val="36"/>
          <w:highlight w:val="none"/>
        </w:rPr>
      </w:pPr>
      <w:bookmarkStart w:id="37" w:name="_Toc9194"/>
      <w:r>
        <w:rPr>
          <w:rFonts w:hint="eastAsia" w:ascii="宋体" w:hAnsi="宋体" w:eastAsia="宋体" w:cs="宋体"/>
          <w:color w:val="000000" w:themeColor="text1"/>
          <w:sz w:val="36"/>
          <w:szCs w:val="36"/>
          <w:highlight w:val="none"/>
          <w14:textFill>
            <w14:solidFill>
              <w14:schemeClr w14:val="tx1"/>
            </w14:solidFill>
          </w14:textFill>
        </w:rPr>
        <w:t>第四章 评审方法及评分标准</w:t>
      </w:r>
      <w:bookmarkEnd w:id="36"/>
      <w:bookmarkEnd w:id="37"/>
    </w:p>
    <w:p w14:paraId="76B94B72">
      <w:pPr>
        <w:ind w:firstLine="422" w:firstLineChars="200"/>
        <w:rPr>
          <w:rFonts w:hint="eastAsia" w:ascii="宋体" w:hAnsi="宋体" w:eastAsia="宋体" w:cs="宋体"/>
          <w:b/>
          <w:szCs w:val="21"/>
          <w:highlight w:val="none"/>
        </w:rPr>
      </w:pPr>
      <w:bookmarkStart w:id="38" w:name="_Toc429664592"/>
      <w:bookmarkStart w:id="39" w:name="_Toc437325890"/>
      <w:bookmarkStart w:id="40" w:name="_Toc367433803"/>
      <w:bookmarkStart w:id="41" w:name="_Toc24808"/>
      <w:bookmarkStart w:id="42" w:name="_Toc521965246"/>
      <w:bookmarkStart w:id="43" w:name="_Toc522005199"/>
      <w:bookmarkStart w:id="44" w:name="_Toc434311844"/>
      <w:bookmarkStart w:id="45" w:name="_Toc429723607"/>
    </w:p>
    <w:p w14:paraId="41FFB755">
      <w:pPr>
        <w:spacing w:line="360" w:lineRule="auto"/>
        <w:ind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一、评审原则</w:t>
      </w:r>
      <w:bookmarkEnd w:id="38"/>
      <w:bookmarkEnd w:id="39"/>
      <w:bookmarkEnd w:id="40"/>
      <w:bookmarkEnd w:id="41"/>
      <w:bookmarkEnd w:id="42"/>
      <w:bookmarkEnd w:id="43"/>
      <w:bookmarkEnd w:id="44"/>
      <w:bookmarkEnd w:id="45"/>
    </w:p>
    <w:p w14:paraId="53C7EFFD">
      <w:pPr>
        <w:spacing w:line="360" w:lineRule="auto"/>
        <w:ind w:left="525"/>
        <w:rPr>
          <w:rFonts w:hint="eastAsia" w:ascii="宋体" w:hAnsi="宋体" w:eastAsia="宋体" w:cs="宋体"/>
          <w:bCs/>
          <w:sz w:val="24"/>
          <w:highlight w:val="none"/>
        </w:rPr>
      </w:pPr>
      <w:bookmarkStart w:id="46" w:name="_Toc522005200"/>
      <w:bookmarkStart w:id="47" w:name="_Toc367433804"/>
      <w:bookmarkStart w:id="48" w:name="_Toc434311845"/>
      <w:bookmarkStart w:id="49" w:name="_Toc429664593"/>
      <w:bookmarkStart w:id="50" w:name="_Toc437325891"/>
      <w:bookmarkStart w:id="51" w:name="_Toc22269"/>
      <w:bookmarkStart w:id="52" w:name="_Toc429723608"/>
      <w:bookmarkStart w:id="53" w:name="_Toc521965247"/>
      <w:r>
        <w:rPr>
          <w:rFonts w:hint="eastAsia" w:ascii="宋体" w:hAnsi="宋体" w:eastAsia="宋体" w:cs="宋体"/>
          <w:bCs/>
          <w:sz w:val="24"/>
          <w:highlight w:val="none"/>
        </w:rPr>
        <w:t>1.1磋商活动遵循公开、公平、公正、科学、择优的原则进行。</w:t>
      </w:r>
    </w:p>
    <w:p w14:paraId="62E75F34">
      <w:pPr>
        <w:spacing w:line="360" w:lineRule="auto"/>
        <w:ind w:left="525"/>
        <w:rPr>
          <w:rFonts w:hint="eastAsia" w:ascii="宋体" w:hAnsi="宋体" w:eastAsia="宋体" w:cs="宋体"/>
          <w:bCs/>
          <w:sz w:val="24"/>
          <w:highlight w:val="none"/>
        </w:rPr>
      </w:pPr>
      <w:r>
        <w:rPr>
          <w:rFonts w:hint="eastAsia" w:ascii="宋体" w:hAnsi="宋体" w:eastAsia="宋体" w:cs="宋体"/>
          <w:bCs/>
          <w:sz w:val="24"/>
          <w:highlight w:val="none"/>
        </w:rPr>
        <w:t>1.2评审小组将综合分析供应商的各项得分，而不以单项得分的高低评选出成交候选供应商。</w:t>
      </w:r>
    </w:p>
    <w:p w14:paraId="62B7E7BA">
      <w:pPr>
        <w:spacing w:line="360" w:lineRule="auto"/>
        <w:ind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二、评审方法</w:t>
      </w:r>
      <w:bookmarkEnd w:id="46"/>
      <w:bookmarkEnd w:id="47"/>
      <w:bookmarkEnd w:id="48"/>
      <w:bookmarkEnd w:id="49"/>
      <w:bookmarkEnd w:id="50"/>
      <w:bookmarkEnd w:id="51"/>
      <w:bookmarkEnd w:id="52"/>
      <w:bookmarkEnd w:id="53"/>
    </w:p>
    <w:p w14:paraId="07BC1924">
      <w:pPr>
        <w:spacing w:line="360" w:lineRule="auto"/>
        <w:ind w:left="525"/>
        <w:rPr>
          <w:rFonts w:hint="eastAsia" w:ascii="宋体" w:hAnsi="宋体" w:eastAsia="宋体" w:cs="宋体"/>
          <w:bCs/>
          <w:sz w:val="24"/>
          <w:highlight w:val="none"/>
        </w:rPr>
      </w:pPr>
      <w:r>
        <w:rPr>
          <w:rFonts w:hint="eastAsia" w:ascii="宋体" w:hAnsi="宋体" w:eastAsia="宋体" w:cs="宋体"/>
          <w:bCs/>
          <w:sz w:val="24"/>
          <w:highlight w:val="none"/>
        </w:rPr>
        <w:t>2.1本次竞争性磋商采用综合评分法（百分制），即在最大限度地满足磋商文件实质性要求前提下，按照磋商文件规定的各项因素进项综合评审后，以得分高低依次排序。</w:t>
      </w:r>
    </w:p>
    <w:p w14:paraId="6CC97225">
      <w:pPr>
        <w:spacing w:line="360" w:lineRule="auto"/>
        <w:ind w:left="525"/>
        <w:rPr>
          <w:rFonts w:hint="eastAsia" w:ascii="宋体" w:hAnsi="宋体" w:eastAsia="宋体" w:cs="宋体"/>
          <w:bCs/>
          <w:sz w:val="24"/>
          <w:highlight w:val="none"/>
        </w:rPr>
      </w:pPr>
      <w:r>
        <w:rPr>
          <w:rFonts w:hint="eastAsia" w:ascii="宋体" w:hAnsi="宋体" w:eastAsia="宋体" w:cs="宋体"/>
          <w:bCs/>
          <w:sz w:val="24"/>
          <w:highlight w:val="none"/>
        </w:rPr>
        <w:t>2.2详细评审</w:t>
      </w:r>
    </w:p>
    <w:p w14:paraId="2DB3B6D6">
      <w:pPr>
        <w:spacing w:line="360" w:lineRule="auto"/>
        <w:ind w:left="525"/>
        <w:rPr>
          <w:rFonts w:hint="eastAsia" w:ascii="宋体" w:hAnsi="宋体" w:eastAsia="宋体" w:cs="宋体"/>
          <w:bCs/>
          <w:sz w:val="24"/>
          <w:highlight w:val="none"/>
        </w:rPr>
      </w:pPr>
      <w:r>
        <w:rPr>
          <w:rFonts w:hint="eastAsia" w:ascii="宋体" w:hAnsi="宋体" w:eastAsia="宋体" w:cs="宋体"/>
          <w:bCs/>
          <w:sz w:val="24"/>
          <w:highlight w:val="none"/>
        </w:rPr>
        <w:t>具体评审因素详见《附表1：评分标准》</w:t>
      </w:r>
    </w:p>
    <w:p w14:paraId="2F13449D">
      <w:pPr>
        <w:pStyle w:val="18"/>
        <w:numPr>
          <w:ilvl w:val="0"/>
          <w:numId w:val="1"/>
        </w:numPr>
        <w:spacing w:line="360" w:lineRule="auto"/>
        <w:ind w:left="-4" w:leftChars="-2" w:firstLine="482" w:firstLineChars="200"/>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评审步骤</w:t>
      </w:r>
    </w:p>
    <w:p w14:paraId="51B2E445">
      <w:pPr>
        <w:pStyle w:val="18"/>
        <w:spacing w:line="360" w:lineRule="auto"/>
        <w:ind w:left="416" w:leftChars="198" w:firstLine="0" w:firstLineChars="0"/>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 xml:space="preserve"> </w:t>
      </w:r>
      <w:r>
        <w:rPr>
          <w:rFonts w:hint="eastAsia" w:ascii="宋体" w:hAnsi="宋体" w:eastAsia="宋体" w:cs="宋体"/>
          <w:bCs/>
          <w:color w:val="000000"/>
          <w:sz w:val="24"/>
          <w:highlight w:val="none"/>
        </w:rPr>
        <w:t>3.1符合性审查</w:t>
      </w:r>
    </w:p>
    <w:p w14:paraId="104070DD">
      <w:pPr>
        <w:pStyle w:val="18"/>
        <w:spacing w:line="360" w:lineRule="auto"/>
        <w:ind w:left="0" w:firstLine="480" w:firstLineChars="200"/>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评审小组依据磋商响应文件，对满足资格要求的供应商进行符合性审查，以确定其是否满足磋商文件的实质性要求，具体评审因素详见《附表2：符合性审查表》</w:t>
      </w:r>
    </w:p>
    <w:p w14:paraId="79709B7E">
      <w:pPr>
        <w:pStyle w:val="18"/>
        <w:spacing w:line="360" w:lineRule="auto"/>
        <w:ind w:left="0" w:firstLine="480" w:firstLineChars="200"/>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3.2澄清、说明或者补正</w:t>
      </w:r>
    </w:p>
    <w:p w14:paraId="7A769083">
      <w:pPr>
        <w:pStyle w:val="18"/>
        <w:spacing w:line="360" w:lineRule="auto"/>
        <w:ind w:left="0" w:firstLine="480" w:firstLineChars="200"/>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3.2.1.评审小组对响应文件中含义不明确、同类问题表述不一致或者有明显文字和算错误的内容，要求投标人做出必要的澄清说明或者补正。</w:t>
      </w:r>
    </w:p>
    <w:p w14:paraId="5D5C52B0">
      <w:pPr>
        <w:pStyle w:val="18"/>
        <w:spacing w:line="360" w:lineRule="auto"/>
        <w:ind w:left="0" w:firstLine="480" w:firstLineChars="200"/>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3.2.2.投标人的澄清、说明或者补正应当采用书面形式，并加盖公章，或者由法定代表人或其授权的代表签字。投标人的澄清、说明或者补正不得超出响应文件的范围或者改变响应文件的实质性内容。</w:t>
      </w:r>
    </w:p>
    <w:p w14:paraId="3BF9D67A">
      <w:pPr>
        <w:pStyle w:val="18"/>
        <w:spacing w:line="360" w:lineRule="auto"/>
        <w:ind w:left="0" w:firstLine="480" w:firstLineChars="200"/>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3.2.3.投标报价修正(如有)</w:t>
      </w:r>
    </w:p>
    <w:p w14:paraId="745ACFE5">
      <w:pPr>
        <w:pStyle w:val="18"/>
        <w:spacing w:line="360" w:lineRule="auto"/>
        <w:ind w:left="0" w:firstLine="480" w:firstLineChars="200"/>
        <w:rPr>
          <w:rFonts w:hint="eastAsia" w:ascii="宋体" w:hAnsi="宋体" w:eastAsia="宋体" w:cs="宋体"/>
          <w:sz w:val="24"/>
          <w:highlight w:val="none"/>
        </w:rPr>
      </w:pPr>
      <w:r>
        <w:rPr>
          <w:rFonts w:hint="eastAsia" w:ascii="宋体" w:hAnsi="宋体" w:eastAsia="宋体" w:cs="宋体"/>
          <w:kern w:val="0"/>
          <w:sz w:val="24"/>
          <w:highlight w:val="none"/>
        </w:rPr>
        <w:t>磋商响应</w:t>
      </w:r>
      <w:r>
        <w:rPr>
          <w:rFonts w:hint="eastAsia" w:ascii="宋体" w:hAnsi="宋体" w:eastAsia="宋体" w:cs="宋体"/>
          <w:sz w:val="24"/>
          <w:highlight w:val="none"/>
        </w:rPr>
        <w:t>文件的大写金额和小写金额不一致的，以大写金额为准；总价金额与按单价汇总金额不一致的，以单价金额计算结果为准；单价金额小数点有明显错位的，应以总价为准，并修改单价。</w:t>
      </w:r>
    </w:p>
    <w:p w14:paraId="28F274C4">
      <w:pPr>
        <w:pStyle w:val="18"/>
        <w:spacing w:line="360" w:lineRule="auto"/>
        <w:ind w:left="0" w:firstLine="480" w:firstLineChars="200"/>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4.1评审小组认为投标人的报价明显低于其他通过符合性审查投标人的报价,有可能影响产品质量或者不能诚信履约的，将要求其在合理的时间内提供书面(含数据电文形式)说明，必要时提交相关证明材料;投标人不能证明其报价合理性的，评审小组将其作为无效投标处理。</w:t>
      </w:r>
    </w:p>
    <w:p w14:paraId="1BA082CB">
      <w:pPr>
        <w:pStyle w:val="18"/>
        <w:spacing w:line="360" w:lineRule="auto"/>
        <w:ind w:left="481" w:leftChars="229" w:firstLine="0" w:firstLineChars="0"/>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四、推荐成交供应商</w:t>
      </w:r>
    </w:p>
    <w:p w14:paraId="04CFC0DC">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本项目采用综合评分法进行评审，综合得分最高者为第一名，依此类推确定得分排名顺序，</w:t>
      </w:r>
      <w:r>
        <w:rPr>
          <w:rFonts w:hint="eastAsia" w:ascii="宋体" w:hAnsi="宋体" w:eastAsia="宋体" w:cs="宋体"/>
          <w:b/>
          <w:bCs/>
          <w:color w:val="auto"/>
          <w:sz w:val="24"/>
          <w:highlight w:val="none"/>
        </w:rPr>
        <w:t>取前</w:t>
      </w:r>
      <w:r>
        <w:rPr>
          <w:rFonts w:hint="eastAsia" w:ascii="宋体" w:hAnsi="宋体" w:eastAsia="宋体" w:cs="宋体"/>
          <w:b/>
          <w:bCs/>
          <w:color w:val="auto"/>
          <w:sz w:val="24"/>
          <w:highlight w:val="none"/>
          <w:lang w:val="en-US" w:eastAsia="zh-CN"/>
        </w:rPr>
        <w:t>1</w:t>
      </w:r>
      <w:r>
        <w:rPr>
          <w:rFonts w:hint="eastAsia" w:ascii="宋体" w:hAnsi="宋体" w:eastAsia="宋体" w:cs="宋体"/>
          <w:b/>
          <w:bCs/>
          <w:color w:val="auto"/>
          <w:sz w:val="24"/>
          <w:highlight w:val="none"/>
        </w:rPr>
        <w:t>名推荐为成交供应商</w:t>
      </w:r>
      <w:r>
        <w:rPr>
          <w:rFonts w:hint="eastAsia" w:ascii="宋体" w:hAnsi="宋体" w:eastAsia="宋体" w:cs="宋体"/>
          <w:color w:val="auto"/>
          <w:sz w:val="24"/>
          <w:highlight w:val="none"/>
        </w:rPr>
        <w:t>。若出现得分排名第一名的供应商放弃成交资格或不能按磋商文件规定签订合同等原因取消成交资格，则按得分排名顺序依次确定</w:t>
      </w:r>
      <w:r>
        <w:rPr>
          <w:rFonts w:hint="eastAsia" w:ascii="宋体" w:hAnsi="宋体" w:eastAsia="宋体" w:cs="宋体"/>
          <w:color w:val="auto"/>
          <w:sz w:val="24"/>
          <w:highlight w:val="none"/>
          <w:lang w:val="en-US" w:eastAsia="zh-CN"/>
        </w:rPr>
        <w:t>下一名</w:t>
      </w:r>
      <w:r>
        <w:rPr>
          <w:rFonts w:hint="eastAsia" w:ascii="宋体" w:hAnsi="宋体" w:eastAsia="宋体" w:cs="宋体"/>
          <w:color w:val="auto"/>
          <w:sz w:val="24"/>
          <w:highlight w:val="none"/>
        </w:rPr>
        <w:t>供应商为成交供应商,依此类推。响应文件满足磋商文件全部实质性要求，且按照评审因素的量化指标评审得分从高到低进行排名，推荐第一名、第二名的供应商为成交供应商。</w:t>
      </w:r>
    </w:p>
    <w:p w14:paraId="5F6E3059">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评审得分相同的，按磋商报价由低到高顺序排列；得分且磋商报价相同的，按技术指标优劣顺序排列。</w:t>
      </w:r>
    </w:p>
    <w:p w14:paraId="0FE3C6E6">
      <w:pP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br w:type="page"/>
      </w:r>
    </w:p>
    <w:p w14:paraId="499D73EC">
      <w:pPr>
        <w:widowControl/>
        <w:jc w:val="left"/>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附表1：</w:t>
      </w:r>
    </w:p>
    <w:p w14:paraId="21A1EEF6">
      <w:pPr>
        <w:widowControl/>
        <w:jc w:val="center"/>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评分标准</w:t>
      </w:r>
    </w:p>
    <w:tbl>
      <w:tblPr>
        <w:tblStyle w:val="22"/>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282"/>
        <w:gridCol w:w="6077"/>
        <w:gridCol w:w="1085"/>
      </w:tblGrid>
      <w:tr w14:paraId="04346D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890" w:hRule="atLeast"/>
          <w:jc w:val="center"/>
        </w:trPr>
        <w:tc>
          <w:tcPr>
            <w:tcW w:w="1282" w:type="dxa"/>
            <w:shd w:val="clear" w:color="auto" w:fill="F1F1F1"/>
            <w:noWrap w:val="0"/>
            <w:vAlign w:val="center"/>
          </w:tcPr>
          <w:p w14:paraId="3E5D60A0">
            <w:pPr>
              <w:keepNext w:val="0"/>
              <w:keepLines w:val="0"/>
              <w:pageBreakBefore w:val="0"/>
              <w:widowControl w:val="0"/>
              <w:suppressLineNumbers w:val="0"/>
              <w:tabs>
                <w:tab w:val="left" w:pos="360"/>
              </w:tabs>
              <w:kinsoku/>
              <w:wordWrap/>
              <w:overflowPunct/>
              <w:topLinePunct w:val="0"/>
              <w:autoSpaceDE w:val="0"/>
              <w:autoSpaceDN w:val="0"/>
              <w:bidi w:val="0"/>
              <w:adjustRightInd w:val="0"/>
              <w:snapToGrid w:val="0"/>
              <w:spacing w:before="0" w:beforeAutospacing="0" w:after="0" w:afterAutospacing="0" w:line="420" w:lineRule="exact"/>
              <w:ind w:left="0" w:leftChars="0" w:right="0" w:rightChars="0"/>
              <w:jc w:val="center"/>
              <w:textAlignment w:val="auto"/>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评审</w:t>
            </w:r>
          </w:p>
          <w:p w14:paraId="2916D37F">
            <w:pPr>
              <w:keepNext w:val="0"/>
              <w:keepLines w:val="0"/>
              <w:pageBreakBefore w:val="0"/>
              <w:widowControl w:val="0"/>
              <w:suppressLineNumbers w:val="0"/>
              <w:tabs>
                <w:tab w:val="left" w:pos="360"/>
              </w:tabs>
              <w:kinsoku/>
              <w:wordWrap/>
              <w:overflowPunct/>
              <w:topLinePunct w:val="0"/>
              <w:autoSpaceDE w:val="0"/>
              <w:autoSpaceDN w:val="0"/>
              <w:bidi w:val="0"/>
              <w:adjustRightInd w:val="0"/>
              <w:snapToGrid w:val="0"/>
              <w:spacing w:before="0" w:beforeAutospacing="0" w:after="0" w:afterAutospacing="0" w:line="420" w:lineRule="exact"/>
              <w:ind w:left="0" w:leftChars="0" w:right="0" w:rightChars="0"/>
              <w:jc w:val="center"/>
              <w:textAlignment w:val="auto"/>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内容</w:t>
            </w:r>
          </w:p>
        </w:tc>
        <w:tc>
          <w:tcPr>
            <w:tcW w:w="6077" w:type="dxa"/>
            <w:shd w:val="clear" w:color="auto" w:fill="F1F1F1"/>
            <w:noWrap w:val="0"/>
            <w:vAlign w:val="center"/>
          </w:tcPr>
          <w:p w14:paraId="15FE7DAB">
            <w:pPr>
              <w:keepNext w:val="0"/>
              <w:keepLines w:val="0"/>
              <w:pageBreakBefore w:val="0"/>
              <w:widowControl w:val="0"/>
              <w:suppressLineNumbers w:val="0"/>
              <w:tabs>
                <w:tab w:val="left" w:pos="360"/>
              </w:tabs>
              <w:kinsoku/>
              <w:wordWrap/>
              <w:overflowPunct/>
              <w:topLinePunct w:val="0"/>
              <w:autoSpaceDE w:val="0"/>
              <w:autoSpaceDN w:val="0"/>
              <w:bidi w:val="0"/>
              <w:adjustRightInd w:val="0"/>
              <w:snapToGrid w:val="0"/>
              <w:spacing w:before="0" w:beforeAutospacing="0" w:after="0" w:afterAutospacing="0" w:line="420" w:lineRule="exact"/>
              <w:ind w:left="0" w:leftChars="0" w:right="0" w:rightChars="0"/>
              <w:jc w:val="center"/>
              <w:textAlignment w:val="auto"/>
              <w:rPr>
                <w:rFonts w:hint="eastAsia" w:ascii="宋体" w:hAnsi="宋体" w:eastAsia="宋体" w:cs="宋体"/>
                <w:b/>
                <w:color w:val="auto"/>
                <w:sz w:val="24"/>
                <w:szCs w:val="24"/>
                <w:highlight w:val="none"/>
                <w:lang w:val="en-US" w:eastAsia="zh-CN"/>
              </w:rPr>
            </w:pPr>
            <w:r>
              <w:rPr>
                <w:rFonts w:hint="eastAsia" w:ascii="宋体" w:hAnsi="宋体" w:eastAsia="宋体" w:cs="宋体"/>
                <w:b/>
                <w:bCs/>
                <w:snapToGrid w:val="0"/>
                <w:kern w:val="0"/>
                <w:sz w:val="24"/>
                <w:szCs w:val="24"/>
                <w:highlight w:val="none"/>
                <w:lang w:val="en-US" w:eastAsia="zh-CN"/>
              </w:rPr>
              <w:t>评审标准</w:t>
            </w:r>
          </w:p>
        </w:tc>
        <w:tc>
          <w:tcPr>
            <w:tcW w:w="1085" w:type="dxa"/>
            <w:shd w:val="clear" w:color="auto" w:fill="F1F1F1"/>
            <w:noWrap w:val="0"/>
            <w:vAlign w:val="center"/>
          </w:tcPr>
          <w:p w14:paraId="3175922E">
            <w:pPr>
              <w:keepNext w:val="0"/>
              <w:keepLines w:val="0"/>
              <w:pageBreakBefore w:val="0"/>
              <w:widowControl w:val="0"/>
              <w:suppressLineNumbers w:val="0"/>
              <w:tabs>
                <w:tab w:val="left" w:pos="360"/>
              </w:tabs>
              <w:kinsoku/>
              <w:wordWrap/>
              <w:overflowPunct/>
              <w:topLinePunct w:val="0"/>
              <w:autoSpaceDE w:val="0"/>
              <w:autoSpaceDN w:val="0"/>
              <w:bidi w:val="0"/>
              <w:adjustRightInd w:val="0"/>
              <w:snapToGrid w:val="0"/>
              <w:spacing w:before="0" w:beforeAutospacing="0" w:after="0" w:afterAutospacing="0" w:line="420" w:lineRule="exact"/>
              <w:ind w:left="0" w:leftChars="0" w:right="0" w:rightChars="0"/>
              <w:jc w:val="center"/>
              <w:textAlignment w:val="auto"/>
              <w:rPr>
                <w:rFonts w:hint="eastAsia" w:ascii="宋体" w:hAnsi="宋体" w:eastAsia="宋体" w:cs="宋体"/>
                <w:b/>
                <w:color w:val="auto"/>
                <w:sz w:val="24"/>
                <w:szCs w:val="24"/>
                <w:highlight w:val="none"/>
                <w:lang w:eastAsia="zh-CN"/>
              </w:rPr>
            </w:pPr>
            <w:r>
              <w:rPr>
                <w:rFonts w:hint="eastAsia" w:ascii="宋体" w:hAnsi="宋体" w:eastAsia="宋体" w:cs="宋体"/>
                <w:b/>
                <w:bCs/>
                <w:snapToGrid w:val="0"/>
                <w:kern w:val="0"/>
                <w:sz w:val="24"/>
                <w:szCs w:val="24"/>
                <w:highlight w:val="none"/>
                <w:lang w:val="en-US" w:eastAsia="zh-CN"/>
              </w:rPr>
              <w:t>分数</w:t>
            </w:r>
          </w:p>
        </w:tc>
      </w:tr>
      <w:tr w14:paraId="14CD6A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304" w:hRule="atLeast"/>
          <w:jc w:val="center"/>
        </w:trPr>
        <w:tc>
          <w:tcPr>
            <w:tcW w:w="1282" w:type="dxa"/>
            <w:noWrap w:val="0"/>
            <w:vAlign w:val="center"/>
          </w:tcPr>
          <w:p w14:paraId="461F26F4">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w:t>
            </w:r>
          </w:p>
        </w:tc>
        <w:tc>
          <w:tcPr>
            <w:tcW w:w="6077" w:type="dxa"/>
            <w:noWrap w:val="0"/>
            <w:vAlign w:val="center"/>
          </w:tcPr>
          <w:p w14:paraId="42CFFBBB">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参照《招标代理服务收费管理暂行办法》（计价格〔2002〕1980号）文件规定的相关收费标准，采用折扣报价，</w:t>
            </w:r>
            <w:r>
              <w:rPr>
                <w:rFonts w:hint="eastAsia" w:ascii="宋体" w:hAnsi="宋体" w:eastAsia="宋体" w:cs="宋体"/>
                <w:color w:val="auto"/>
                <w:sz w:val="24"/>
                <w:szCs w:val="24"/>
                <w:highlight w:val="none"/>
                <w:lang w:val="en-US" w:eastAsia="zh-CN"/>
              </w:rPr>
              <w:t>在限价基础上</w:t>
            </w:r>
            <w:r>
              <w:rPr>
                <w:rFonts w:hint="eastAsia" w:ascii="宋体" w:hAnsi="宋体" w:eastAsia="宋体" w:cs="宋体"/>
                <w:color w:val="auto"/>
                <w:sz w:val="24"/>
                <w:szCs w:val="24"/>
                <w:highlight w:val="none"/>
              </w:rPr>
              <w:t>每降低1%得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分，最多得</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rPr>
              <w:t>分。</w:t>
            </w:r>
          </w:p>
        </w:tc>
        <w:tc>
          <w:tcPr>
            <w:tcW w:w="1085" w:type="dxa"/>
            <w:noWrap w:val="0"/>
            <w:vAlign w:val="center"/>
          </w:tcPr>
          <w:p w14:paraId="56154A51">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0分</w:t>
            </w:r>
          </w:p>
        </w:tc>
      </w:tr>
      <w:tr w14:paraId="29F005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598" w:hRule="atLeast"/>
          <w:jc w:val="center"/>
        </w:trPr>
        <w:tc>
          <w:tcPr>
            <w:tcW w:w="1282" w:type="dxa"/>
            <w:vMerge w:val="restart"/>
            <w:noWrap w:val="0"/>
            <w:vAlign w:val="center"/>
          </w:tcPr>
          <w:p w14:paraId="18A565BE">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代理</w:t>
            </w:r>
          </w:p>
          <w:p w14:paraId="2C898CC0">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机构</w:t>
            </w:r>
          </w:p>
          <w:p w14:paraId="4175E3D6">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实力</w:t>
            </w:r>
          </w:p>
        </w:tc>
        <w:tc>
          <w:tcPr>
            <w:tcW w:w="6077" w:type="dxa"/>
            <w:noWrap w:val="0"/>
            <w:vAlign w:val="center"/>
          </w:tcPr>
          <w:p w14:paraId="1C742036">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企业信用等级证书在有效期内，信用等级为AAA的得3分</w:t>
            </w:r>
            <w:r>
              <w:rPr>
                <w:rFonts w:hint="eastAsia" w:ascii="宋体" w:hAnsi="宋体" w:eastAsia="宋体" w:cs="宋体"/>
                <w:color w:val="auto"/>
                <w:sz w:val="24"/>
                <w:szCs w:val="24"/>
                <w:highlight w:val="none"/>
                <w:lang w:eastAsia="zh-CN"/>
              </w:rPr>
              <w:t>。</w:t>
            </w:r>
          </w:p>
          <w:p w14:paraId="687D9B05">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（提供证书原件扫描件或复印件）</w:t>
            </w:r>
          </w:p>
        </w:tc>
        <w:tc>
          <w:tcPr>
            <w:tcW w:w="1085" w:type="dxa"/>
            <w:noWrap w:val="0"/>
            <w:vAlign w:val="center"/>
          </w:tcPr>
          <w:p w14:paraId="3F65E28A">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3分</w:t>
            </w:r>
          </w:p>
        </w:tc>
      </w:tr>
      <w:tr w14:paraId="42FD5A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304" w:hRule="atLeast"/>
          <w:jc w:val="center"/>
        </w:trPr>
        <w:tc>
          <w:tcPr>
            <w:tcW w:w="1282" w:type="dxa"/>
            <w:vMerge w:val="continue"/>
            <w:noWrap w:val="0"/>
            <w:vAlign w:val="center"/>
          </w:tcPr>
          <w:p w14:paraId="1FA81854">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rPr>
            </w:pPr>
          </w:p>
        </w:tc>
        <w:tc>
          <w:tcPr>
            <w:tcW w:w="6077" w:type="dxa"/>
            <w:noWrap w:val="0"/>
            <w:vAlign w:val="center"/>
          </w:tcPr>
          <w:p w14:paraId="685ACD53">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在武汉市的固定办公营业场所（不包括住宿场所）情况评分：</w:t>
            </w:r>
          </w:p>
          <w:p w14:paraId="6CC2BC37">
            <w:pPr>
              <w:keepNext w:val="0"/>
              <w:keepLines w:val="0"/>
              <w:pageBreakBefore w:val="0"/>
              <w:widowControl w:val="0"/>
              <w:numPr>
                <w:ilvl w:val="0"/>
                <w:numId w:val="0"/>
              </w:numPr>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pacing w:val="-6"/>
                <w:sz w:val="24"/>
                <w:szCs w:val="24"/>
                <w:highlight w:val="none"/>
              </w:rPr>
              <w:t>经营场所面积≥</w:t>
            </w:r>
            <w:r>
              <w:rPr>
                <w:rFonts w:hint="eastAsia" w:ascii="宋体" w:hAnsi="宋体" w:eastAsia="宋体" w:cs="宋体"/>
                <w:color w:val="auto"/>
                <w:spacing w:val="-6"/>
                <w:sz w:val="24"/>
                <w:szCs w:val="24"/>
                <w:highlight w:val="none"/>
                <w:lang w:val="en-US" w:eastAsia="zh-CN"/>
              </w:rPr>
              <w:t>400</w:t>
            </w:r>
            <w:r>
              <w:rPr>
                <w:rFonts w:hint="eastAsia" w:ascii="宋体" w:hAnsi="宋体" w:eastAsia="宋体" w:cs="宋体"/>
                <w:color w:val="auto"/>
                <w:spacing w:val="-6"/>
                <w:sz w:val="24"/>
                <w:szCs w:val="24"/>
                <w:highlight w:val="none"/>
              </w:rPr>
              <w:t>㎡的，得5分；</w:t>
            </w:r>
          </w:p>
          <w:p w14:paraId="043D36D2">
            <w:pPr>
              <w:keepNext w:val="0"/>
              <w:keepLines w:val="0"/>
              <w:pageBreakBefore w:val="0"/>
              <w:widowControl w:val="0"/>
              <w:numPr>
                <w:ilvl w:val="0"/>
                <w:numId w:val="0"/>
              </w:numPr>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200</w:t>
            </w:r>
            <w:r>
              <w:rPr>
                <w:rFonts w:hint="eastAsia" w:ascii="宋体" w:hAnsi="宋体" w:eastAsia="宋体" w:cs="宋体"/>
                <w:color w:val="auto"/>
                <w:sz w:val="24"/>
                <w:szCs w:val="24"/>
                <w:highlight w:val="none"/>
              </w:rPr>
              <w:t>㎡≤经营场所面积＜</w:t>
            </w:r>
            <w:r>
              <w:rPr>
                <w:rFonts w:hint="eastAsia" w:ascii="宋体" w:hAnsi="宋体" w:eastAsia="宋体" w:cs="宋体"/>
                <w:color w:val="auto"/>
                <w:sz w:val="24"/>
                <w:szCs w:val="24"/>
                <w:highlight w:val="none"/>
                <w:lang w:val="en-US" w:eastAsia="zh-CN"/>
              </w:rPr>
              <w:t>400</w:t>
            </w:r>
            <w:r>
              <w:rPr>
                <w:rFonts w:hint="eastAsia" w:ascii="宋体" w:hAnsi="宋体" w:eastAsia="宋体" w:cs="宋体"/>
                <w:color w:val="auto"/>
                <w:sz w:val="24"/>
                <w:szCs w:val="24"/>
                <w:highlight w:val="none"/>
              </w:rPr>
              <w:t>㎡的，得3分；</w:t>
            </w:r>
          </w:p>
          <w:p w14:paraId="7F2F0416">
            <w:pPr>
              <w:keepNext w:val="0"/>
              <w:keepLines w:val="0"/>
              <w:pageBreakBefore w:val="0"/>
              <w:widowControl w:val="0"/>
              <w:numPr>
                <w:ilvl w:val="0"/>
                <w:numId w:val="0"/>
              </w:numPr>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（3）经营场所面积不足</w:t>
            </w:r>
            <w:r>
              <w:rPr>
                <w:rFonts w:hint="eastAsia" w:ascii="宋体" w:hAnsi="宋体" w:eastAsia="宋体" w:cs="宋体"/>
                <w:color w:val="auto"/>
                <w:sz w:val="24"/>
                <w:szCs w:val="24"/>
                <w:highlight w:val="none"/>
                <w:lang w:val="en-US" w:eastAsia="zh-CN"/>
              </w:rPr>
              <w:t>200</w:t>
            </w:r>
            <w:r>
              <w:rPr>
                <w:rFonts w:hint="eastAsia" w:ascii="宋体" w:hAnsi="宋体" w:eastAsia="宋体" w:cs="宋体"/>
                <w:color w:val="auto"/>
                <w:sz w:val="24"/>
                <w:szCs w:val="24"/>
                <w:highlight w:val="none"/>
              </w:rPr>
              <w:t>㎡的，得</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分。</w:t>
            </w:r>
          </w:p>
          <w:p w14:paraId="25352A9A">
            <w:pPr>
              <w:keepNext w:val="0"/>
              <w:keepLines w:val="0"/>
              <w:pageBreakBefore w:val="0"/>
              <w:widowControl w:val="0"/>
              <w:numPr>
                <w:ilvl w:val="0"/>
                <w:numId w:val="0"/>
              </w:numPr>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（自有房产的提供房产证、租用办公场所的提供租赁合同，附办公场所照片等，未提供或提供不全不得分）</w:t>
            </w:r>
          </w:p>
        </w:tc>
        <w:tc>
          <w:tcPr>
            <w:tcW w:w="1085" w:type="dxa"/>
            <w:noWrap w:val="0"/>
            <w:vAlign w:val="center"/>
          </w:tcPr>
          <w:p w14:paraId="43609057">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5分</w:t>
            </w:r>
          </w:p>
        </w:tc>
      </w:tr>
      <w:tr w14:paraId="14242C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304" w:hRule="atLeast"/>
          <w:jc w:val="center"/>
        </w:trPr>
        <w:tc>
          <w:tcPr>
            <w:tcW w:w="1282" w:type="dxa"/>
            <w:vMerge w:val="continue"/>
            <w:noWrap w:val="0"/>
            <w:vAlign w:val="center"/>
          </w:tcPr>
          <w:p w14:paraId="4B791D08">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rPr>
            </w:pPr>
          </w:p>
        </w:tc>
        <w:tc>
          <w:tcPr>
            <w:tcW w:w="6077" w:type="dxa"/>
            <w:shd w:val="clear" w:color="auto" w:fill="auto"/>
            <w:noWrap w:val="0"/>
            <w:vAlign w:val="center"/>
          </w:tcPr>
          <w:p w14:paraId="7EA92D3C">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常年配备固定法律专业人员或聘请法律顾问的，得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w:t>
            </w:r>
          </w:p>
          <w:p w14:paraId="1F939002">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（提供法律咨询委托合同、律师资格证复印件）</w:t>
            </w:r>
          </w:p>
        </w:tc>
        <w:tc>
          <w:tcPr>
            <w:tcW w:w="1085" w:type="dxa"/>
            <w:shd w:val="clear" w:color="auto" w:fill="auto"/>
            <w:noWrap w:val="0"/>
            <w:vAlign w:val="center"/>
          </w:tcPr>
          <w:p w14:paraId="17C7FE25">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2分</w:t>
            </w:r>
          </w:p>
        </w:tc>
      </w:tr>
      <w:tr w14:paraId="70ACBF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304" w:hRule="atLeast"/>
          <w:jc w:val="center"/>
        </w:trPr>
        <w:tc>
          <w:tcPr>
            <w:tcW w:w="1282" w:type="dxa"/>
            <w:vMerge w:val="continue"/>
            <w:noWrap w:val="0"/>
            <w:vAlign w:val="center"/>
          </w:tcPr>
          <w:p w14:paraId="7BBA4514">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rPr>
            </w:pPr>
          </w:p>
        </w:tc>
        <w:tc>
          <w:tcPr>
            <w:tcW w:w="6077" w:type="dxa"/>
            <w:shd w:val="clear" w:color="auto" w:fill="auto"/>
            <w:noWrap w:val="0"/>
            <w:vAlign w:val="center"/>
          </w:tcPr>
          <w:p w14:paraId="2E8D877B">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年1月1日至今，承接医疗机构政府采购货物、服务、</w:t>
            </w:r>
            <w:r>
              <w:rPr>
                <w:rFonts w:hint="eastAsia" w:ascii="宋体" w:hAnsi="宋体" w:eastAsia="宋体" w:cs="宋体"/>
                <w:color w:val="auto"/>
                <w:sz w:val="24"/>
                <w:szCs w:val="24"/>
                <w:highlight w:val="none"/>
                <w:lang w:val="en-US" w:eastAsia="zh-CN"/>
              </w:rPr>
              <w:t>工程</w:t>
            </w:r>
            <w:r>
              <w:rPr>
                <w:rFonts w:hint="eastAsia" w:ascii="宋体" w:hAnsi="宋体" w:eastAsia="宋体" w:cs="宋体"/>
                <w:color w:val="auto"/>
                <w:sz w:val="24"/>
                <w:szCs w:val="24"/>
                <w:highlight w:val="none"/>
              </w:rPr>
              <w:t>类项目：</w:t>
            </w:r>
          </w:p>
          <w:p w14:paraId="20FD9283">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（1）中标金额2000万元（含）以上的，1个</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分，最高得</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分；</w:t>
            </w:r>
          </w:p>
          <w:p w14:paraId="1EB6D4D0">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（2）中标金额1000万元（含）-2000万元的，1个4分，最高得</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分；</w:t>
            </w:r>
          </w:p>
          <w:p w14:paraId="7BA1C1C8">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（3）中标金额500万元（含）-1000万元的，1个3分，最高得</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分；</w:t>
            </w:r>
          </w:p>
          <w:p w14:paraId="23FD0861">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（4）中标金额100万元（含）-500万元的，1个2分，最高得</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分；</w:t>
            </w:r>
          </w:p>
          <w:p w14:paraId="454A2040">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（提供中标结果公告截图及链接</w:t>
            </w:r>
            <w:r>
              <w:rPr>
                <w:rFonts w:hint="eastAsia" w:ascii="宋体" w:hAnsi="宋体" w:cs="宋体"/>
                <w:color w:val="auto"/>
                <w:sz w:val="24"/>
                <w:szCs w:val="24"/>
                <w:highlight w:val="none"/>
                <w:lang w:val="en-US" w:eastAsia="zh-CN"/>
              </w:rPr>
              <w:t>或合同</w:t>
            </w:r>
            <w:r>
              <w:rPr>
                <w:rFonts w:hint="eastAsia" w:ascii="宋体" w:hAnsi="宋体" w:eastAsia="宋体" w:cs="宋体"/>
                <w:color w:val="auto"/>
                <w:sz w:val="24"/>
                <w:szCs w:val="24"/>
                <w:highlight w:val="none"/>
                <w:lang w:val="en-US" w:eastAsia="zh-CN"/>
              </w:rPr>
              <w:t>作为佐证材料；未提供或提供不全的不得分。）</w:t>
            </w:r>
          </w:p>
        </w:tc>
        <w:tc>
          <w:tcPr>
            <w:tcW w:w="1085" w:type="dxa"/>
            <w:shd w:val="clear" w:color="auto" w:fill="auto"/>
            <w:noWrap w:val="0"/>
            <w:vAlign w:val="center"/>
          </w:tcPr>
          <w:p w14:paraId="30DE2315">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2</w:t>
            </w:r>
            <w:r>
              <w:rPr>
                <w:rFonts w:hint="eastAsia" w:ascii="宋体" w:hAnsi="宋体" w:eastAsia="宋体" w:cs="宋体"/>
                <w:color w:val="auto"/>
                <w:kern w:val="2"/>
                <w:sz w:val="24"/>
                <w:szCs w:val="24"/>
                <w:highlight w:val="none"/>
                <w:lang w:val="en-US" w:eastAsia="zh-CN" w:bidi="ar-SA"/>
              </w:rPr>
              <w:t>0分</w:t>
            </w:r>
          </w:p>
        </w:tc>
      </w:tr>
      <w:tr w14:paraId="2CB191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304" w:hRule="atLeast"/>
          <w:jc w:val="center"/>
        </w:trPr>
        <w:tc>
          <w:tcPr>
            <w:tcW w:w="1282" w:type="dxa"/>
            <w:vMerge w:val="restart"/>
            <w:noWrap w:val="0"/>
            <w:vAlign w:val="center"/>
          </w:tcPr>
          <w:p w14:paraId="61107084">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设施</w:t>
            </w:r>
          </w:p>
          <w:p w14:paraId="4D163CC9">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设备</w:t>
            </w:r>
          </w:p>
        </w:tc>
        <w:tc>
          <w:tcPr>
            <w:tcW w:w="6077" w:type="dxa"/>
            <w:tcBorders>
              <w:bottom w:val="single" w:color="auto" w:sz="4" w:space="0"/>
            </w:tcBorders>
            <w:noWrap w:val="0"/>
            <w:vAlign w:val="center"/>
          </w:tcPr>
          <w:p w14:paraId="30DBAC5F">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开评标室、评委候标室、档案室、监控室、日常办公室齐全的，得5分。</w:t>
            </w:r>
          </w:p>
          <w:p w14:paraId="5A7286E9">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（提供上述现场照片，场所配置不全或未提供不得分）</w:t>
            </w:r>
          </w:p>
        </w:tc>
        <w:tc>
          <w:tcPr>
            <w:tcW w:w="1085" w:type="dxa"/>
            <w:noWrap w:val="0"/>
            <w:vAlign w:val="center"/>
          </w:tcPr>
          <w:p w14:paraId="1BDAA219">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5分</w:t>
            </w:r>
          </w:p>
        </w:tc>
      </w:tr>
      <w:tr w14:paraId="2779FE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304" w:hRule="atLeast"/>
          <w:jc w:val="center"/>
        </w:trPr>
        <w:tc>
          <w:tcPr>
            <w:tcW w:w="1282" w:type="dxa"/>
            <w:vMerge w:val="continue"/>
            <w:noWrap w:val="0"/>
            <w:vAlign w:val="center"/>
          </w:tcPr>
          <w:p w14:paraId="36F8D106">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rPr>
            </w:pPr>
          </w:p>
        </w:tc>
        <w:tc>
          <w:tcPr>
            <w:tcW w:w="6077" w:type="dxa"/>
            <w:tcBorders>
              <w:bottom w:val="single" w:color="auto" w:sz="4" w:space="0"/>
            </w:tcBorders>
            <w:noWrap w:val="0"/>
            <w:vAlign w:val="center"/>
          </w:tcPr>
          <w:p w14:paraId="5D17A38A">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电子开评标设备、录音录像监控设备、电子数据存储设备、投影设备齐全的，得4分，否则不得分。</w:t>
            </w:r>
          </w:p>
          <w:p w14:paraId="595276A1">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（提供设施设备照片，设备不全或未提供不得分）</w:t>
            </w:r>
          </w:p>
        </w:tc>
        <w:tc>
          <w:tcPr>
            <w:tcW w:w="1085" w:type="dxa"/>
            <w:noWrap w:val="0"/>
            <w:vAlign w:val="center"/>
          </w:tcPr>
          <w:p w14:paraId="0892187A">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4分</w:t>
            </w:r>
          </w:p>
        </w:tc>
      </w:tr>
      <w:tr w14:paraId="34B840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304" w:hRule="atLeast"/>
          <w:jc w:val="center"/>
        </w:trPr>
        <w:tc>
          <w:tcPr>
            <w:tcW w:w="1282" w:type="dxa"/>
            <w:vMerge w:val="restart"/>
            <w:noWrap w:val="0"/>
            <w:vAlign w:val="center"/>
          </w:tcPr>
          <w:p w14:paraId="681C5889">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拟派</w:t>
            </w:r>
          </w:p>
          <w:p w14:paraId="2FCB1AE7">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w:t>
            </w:r>
          </w:p>
          <w:p w14:paraId="36E6F343">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团队</w:t>
            </w:r>
          </w:p>
        </w:tc>
        <w:tc>
          <w:tcPr>
            <w:tcW w:w="6077" w:type="dxa"/>
            <w:tcBorders>
              <w:bottom w:val="single" w:color="auto" w:sz="4" w:space="0"/>
            </w:tcBorders>
            <w:noWrap w:val="0"/>
            <w:vAlign w:val="center"/>
          </w:tcPr>
          <w:p w14:paraId="62ED989F">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项目负责人</w:t>
            </w:r>
            <w:r>
              <w:rPr>
                <w:rFonts w:hint="eastAsia" w:ascii="宋体" w:hAnsi="宋体" w:cs="宋体"/>
                <w:color w:val="auto"/>
                <w:sz w:val="24"/>
                <w:szCs w:val="24"/>
                <w:highlight w:val="none"/>
                <w:lang w:val="en-US" w:eastAsia="zh-CN"/>
              </w:rPr>
              <w:t>具有相关专业中级职称及以上并</w:t>
            </w:r>
            <w:r>
              <w:rPr>
                <w:rFonts w:hint="eastAsia" w:ascii="宋体" w:hAnsi="宋体" w:eastAsia="宋体" w:cs="宋体"/>
                <w:color w:val="auto"/>
                <w:sz w:val="24"/>
                <w:szCs w:val="24"/>
                <w:highlight w:val="none"/>
                <w:lang w:val="en-US" w:eastAsia="zh-CN"/>
              </w:rPr>
              <w:t>从业年限10年以上得3分，5-10（含）年得2分，5年及以下</w:t>
            </w:r>
            <w:r>
              <w:rPr>
                <w:rFonts w:hint="eastAsia" w:ascii="宋体" w:hAnsi="宋体" w:cs="宋体"/>
                <w:color w:val="auto"/>
                <w:sz w:val="24"/>
                <w:szCs w:val="24"/>
                <w:highlight w:val="none"/>
                <w:lang w:val="en-US" w:eastAsia="zh-CN"/>
              </w:rPr>
              <w:t>得1分</w:t>
            </w:r>
            <w:r>
              <w:rPr>
                <w:rFonts w:hint="eastAsia" w:ascii="宋体" w:hAnsi="宋体" w:eastAsia="宋体" w:cs="宋体"/>
                <w:color w:val="auto"/>
                <w:sz w:val="24"/>
                <w:szCs w:val="24"/>
                <w:highlight w:val="none"/>
                <w:lang w:val="en-US" w:eastAsia="zh-CN"/>
              </w:rPr>
              <w:t>。（提供相应证明材料，如含有项目经理名字的社保等）</w:t>
            </w:r>
          </w:p>
        </w:tc>
        <w:tc>
          <w:tcPr>
            <w:tcW w:w="1085" w:type="dxa"/>
            <w:noWrap w:val="0"/>
            <w:vAlign w:val="center"/>
          </w:tcPr>
          <w:p w14:paraId="6EF31E4D">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3分</w:t>
            </w:r>
          </w:p>
        </w:tc>
      </w:tr>
      <w:tr w14:paraId="4FA1F1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304" w:hRule="atLeast"/>
          <w:jc w:val="center"/>
        </w:trPr>
        <w:tc>
          <w:tcPr>
            <w:tcW w:w="1282" w:type="dxa"/>
            <w:vMerge w:val="continue"/>
            <w:noWrap w:val="0"/>
            <w:vAlign w:val="center"/>
          </w:tcPr>
          <w:p w14:paraId="4EF842DD">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p>
        </w:tc>
        <w:tc>
          <w:tcPr>
            <w:tcW w:w="6077" w:type="dxa"/>
            <w:tcBorders>
              <w:bottom w:val="single" w:color="auto" w:sz="4" w:space="0"/>
            </w:tcBorders>
            <w:noWrap w:val="0"/>
            <w:vAlign w:val="center"/>
          </w:tcPr>
          <w:p w14:paraId="60BAA4EE">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提供服务团队组成人员方案和职责分工。</w:t>
            </w:r>
          </w:p>
          <w:p w14:paraId="742E7015">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（1）岗位组成及分工合理，得2分，其他酌情扣减；</w:t>
            </w:r>
          </w:p>
          <w:p w14:paraId="6CB270F9">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（2）岗位职责描述明确、详细，得3分，其他酌情扣减。</w:t>
            </w:r>
          </w:p>
        </w:tc>
        <w:tc>
          <w:tcPr>
            <w:tcW w:w="1085" w:type="dxa"/>
            <w:noWrap w:val="0"/>
            <w:vAlign w:val="center"/>
          </w:tcPr>
          <w:p w14:paraId="6F33F640">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5分</w:t>
            </w:r>
          </w:p>
        </w:tc>
      </w:tr>
      <w:tr w14:paraId="3E8A45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304" w:hRule="atLeast"/>
          <w:jc w:val="center"/>
        </w:trPr>
        <w:tc>
          <w:tcPr>
            <w:tcW w:w="1282" w:type="dxa"/>
            <w:vMerge w:val="restart"/>
            <w:noWrap w:val="0"/>
            <w:vAlign w:val="center"/>
          </w:tcPr>
          <w:p w14:paraId="7020E6D8">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代理</w:t>
            </w:r>
          </w:p>
          <w:p w14:paraId="6882AEB2">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服务</w:t>
            </w:r>
          </w:p>
          <w:p w14:paraId="2FF549E4">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方案</w:t>
            </w:r>
          </w:p>
        </w:tc>
        <w:tc>
          <w:tcPr>
            <w:tcW w:w="6077" w:type="dxa"/>
            <w:tcBorders>
              <w:bottom w:val="single" w:color="auto" w:sz="4" w:space="0"/>
            </w:tcBorders>
            <w:noWrap w:val="0"/>
            <w:vAlign w:val="center"/>
          </w:tcPr>
          <w:p w14:paraId="7E269422">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根据医院业务特点提供全流程服务实施方案。（包含但不限于服务范围覆盖、流程规范性、时间进度安排、多个项目同时开评标工作预案等内容）全流程服务实施方案覆盖全面且细节明确、流程清晰合规，得1</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分，其他酌情扣减。</w:t>
            </w:r>
          </w:p>
        </w:tc>
        <w:tc>
          <w:tcPr>
            <w:tcW w:w="1085" w:type="dxa"/>
            <w:noWrap w:val="0"/>
            <w:vAlign w:val="center"/>
          </w:tcPr>
          <w:p w14:paraId="190068A8">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eastAsia="zh-CN"/>
              </w:rPr>
              <w:t>12分</w:t>
            </w:r>
          </w:p>
        </w:tc>
      </w:tr>
      <w:tr w14:paraId="19F34C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304" w:hRule="atLeast"/>
          <w:jc w:val="center"/>
        </w:trPr>
        <w:tc>
          <w:tcPr>
            <w:tcW w:w="1282" w:type="dxa"/>
            <w:vMerge w:val="continue"/>
            <w:noWrap w:val="0"/>
            <w:vAlign w:val="center"/>
          </w:tcPr>
          <w:p w14:paraId="02BD7412">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rPr>
            </w:pPr>
          </w:p>
        </w:tc>
        <w:tc>
          <w:tcPr>
            <w:tcW w:w="6077" w:type="dxa"/>
            <w:tcBorders>
              <w:bottom w:val="single" w:color="auto" w:sz="4" w:space="0"/>
            </w:tcBorders>
            <w:noWrap w:val="0"/>
            <w:vAlign w:val="center"/>
          </w:tcPr>
          <w:p w14:paraId="37D4DAA3">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提供采购风险防控方案（包括但不限于法律风险、操作风险、围标串标风险的识别与解决方案等）。内容覆盖全面、分析科学合理、措施具体可执行，得8分，其他酌情扣减。</w:t>
            </w:r>
          </w:p>
        </w:tc>
        <w:tc>
          <w:tcPr>
            <w:tcW w:w="1085" w:type="dxa"/>
            <w:noWrap w:val="0"/>
            <w:vAlign w:val="center"/>
          </w:tcPr>
          <w:p w14:paraId="02639C67">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8分</w:t>
            </w:r>
          </w:p>
        </w:tc>
      </w:tr>
      <w:tr w14:paraId="3F0F79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304" w:hRule="atLeast"/>
          <w:jc w:val="center"/>
        </w:trPr>
        <w:tc>
          <w:tcPr>
            <w:tcW w:w="1282" w:type="dxa"/>
            <w:vMerge w:val="continue"/>
            <w:noWrap w:val="0"/>
            <w:vAlign w:val="center"/>
          </w:tcPr>
          <w:p w14:paraId="702408F8">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rPr>
            </w:pPr>
          </w:p>
        </w:tc>
        <w:tc>
          <w:tcPr>
            <w:tcW w:w="6077" w:type="dxa"/>
            <w:tcBorders>
              <w:bottom w:val="single" w:color="auto" w:sz="4" w:space="0"/>
            </w:tcBorders>
            <w:noWrap w:val="0"/>
            <w:vAlign w:val="center"/>
          </w:tcPr>
          <w:p w14:paraId="1A7191E0">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提供质疑投诉处理方案。措施合法合规、操作性强、有针对性，处理时间节点清晰、突发情况应对方案齐全，得</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分，其他酌情扣减。</w:t>
            </w:r>
          </w:p>
        </w:tc>
        <w:tc>
          <w:tcPr>
            <w:tcW w:w="1085" w:type="dxa"/>
            <w:noWrap w:val="0"/>
            <w:vAlign w:val="center"/>
          </w:tcPr>
          <w:p w14:paraId="2AD70F2B">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lang w:val="en-US" w:eastAsia="zh-CN"/>
              </w:rPr>
              <w:t>分</w:t>
            </w:r>
          </w:p>
        </w:tc>
      </w:tr>
      <w:tr w14:paraId="33EFA4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304" w:hRule="atLeast"/>
          <w:jc w:val="center"/>
        </w:trPr>
        <w:tc>
          <w:tcPr>
            <w:tcW w:w="1282" w:type="dxa"/>
            <w:vMerge w:val="continue"/>
            <w:noWrap w:val="0"/>
            <w:vAlign w:val="center"/>
          </w:tcPr>
          <w:p w14:paraId="2D659AFA">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rPr>
            </w:pPr>
          </w:p>
        </w:tc>
        <w:tc>
          <w:tcPr>
            <w:tcW w:w="6077" w:type="dxa"/>
            <w:tcBorders>
              <w:bottom w:val="single" w:color="auto" w:sz="4" w:space="0"/>
            </w:tcBorders>
            <w:noWrap w:val="0"/>
            <w:vAlign w:val="center"/>
          </w:tcPr>
          <w:p w14:paraId="25AE0FC2">
            <w:pPr>
              <w:keepNext w:val="0"/>
              <w:keepLines w:val="0"/>
              <w:pageBreakBefore w:val="0"/>
              <w:widowControl w:val="0"/>
              <w:kinsoku/>
              <w:wordWrap/>
              <w:overflowPunct/>
              <w:topLinePunct w:val="0"/>
              <w:bidi w:val="0"/>
              <w:spacing w:after="0"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提供差异化延伸服务方案（包括但不限于采购需求管理优化、投标合规性审查、政策培训等）。方案合理，措施具体可行得5分，其他酌情扣减。</w:t>
            </w:r>
          </w:p>
        </w:tc>
        <w:tc>
          <w:tcPr>
            <w:tcW w:w="1085" w:type="dxa"/>
            <w:noWrap w:val="0"/>
            <w:vAlign w:val="center"/>
          </w:tcPr>
          <w:p w14:paraId="57793102">
            <w:pPr>
              <w:keepNext w:val="0"/>
              <w:keepLines w:val="0"/>
              <w:pageBreakBefore w:val="0"/>
              <w:widowControl w:val="0"/>
              <w:kinsoku/>
              <w:wordWrap/>
              <w:overflowPunct/>
              <w:topLinePunct w:val="0"/>
              <w:bidi w:val="0"/>
              <w:spacing w:after="0"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5分</w:t>
            </w:r>
          </w:p>
        </w:tc>
      </w:tr>
    </w:tbl>
    <w:p w14:paraId="6C36B97A">
      <w:pPr>
        <w:widowControl/>
        <w:rPr>
          <w:rFonts w:hint="eastAsia" w:ascii="宋体" w:hAnsi="宋体" w:eastAsia="宋体" w:cs="宋体"/>
          <w:szCs w:val="21"/>
          <w:highlight w:val="none"/>
        </w:rPr>
      </w:pPr>
      <w:r>
        <w:rPr>
          <w:rFonts w:hint="eastAsia" w:ascii="宋体" w:hAnsi="宋体" w:eastAsia="宋体" w:cs="宋体"/>
          <w:color w:val="auto"/>
          <w:szCs w:val="21"/>
          <w:highlight w:val="none"/>
        </w:rPr>
        <w:br w:type="page"/>
      </w:r>
      <w:bookmarkStart w:id="54" w:name="_Toc524200261"/>
      <w:bookmarkStart w:id="55" w:name="_Toc524078640"/>
    </w:p>
    <w:p w14:paraId="6E5BCDEC">
      <w:pPr>
        <w:widowControl/>
        <w:jc w:val="left"/>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附表2：</w:t>
      </w:r>
    </w:p>
    <w:p w14:paraId="34975362">
      <w:pPr>
        <w:widowControl/>
        <w:jc w:val="center"/>
        <w:rPr>
          <w:rFonts w:hint="eastAsia" w:ascii="宋体" w:hAnsi="宋体" w:eastAsia="宋体" w:cs="宋体"/>
          <w:sz w:val="24"/>
          <w:highlight w:val="none"/>
        </w:rPr>
      </w:pPr>
      <w:r>
        <w:rPr>
          <w:rFonts w:hint="eastAsia" w:ascii="宋体" w:hAnsi="宋体" w:eastAsia="宋体" w:cs="宋体"/>
          <w:sz w:val="24"/>
          <w:highlight w:val="none"/>
        </w:rPr>
        <w:t>符合性审查表</w:t>
      </w:r>
    </w:p>
    <w:tbl>
      <w:tblPr>
        <w:tblStyle w:val="22"/>
        <w:tblpPr w:leftFromText="180" w:rightFromText="180" w:vertAnchor="page" w:horzAnchor="page" w:tblpX="1785" w:tblpY="2512"/>
        <w:tblOverlap w:val="never"/>
        <w:tblW w:w="9370" w:type="dxa"/>
        <w:tblInd w:w="0" w:type="dxa"/>
        <w:tblLayout w:type="fixed"/>
        <w:tblCellMar>
          <w:top w:w="57" w:type="dxa"/>
          <w:left w:w="108" w:type="dxa"/>
          <w:bottom w:w="57" w:type="dxa"/>
          <w:right w:w="108" w:type="dxa"/>
        </w:tblCellMar>
      </w:tblPr>
      <w:tblGrid>
        <w:gridCol w:w="718"/>
        <w:gridCol w:w="8652"/>
      </w:tblGrid>
      <w:tr w14:paraId="1E0B19AD">
        <w:tblPrEx>
          <w:tblCellMar>
            <w:top w:w="57" w:type="dxa"/>
            <w:left w:w="108" w:type="dxa"/>
            <w:bottom w:w="57" w:type="dxa"/>
            <w:right w:w="108" w:type="dxa"/>
          </w:tblCellMar>
        </w:tblPrEx>
        <w:trPr>
          <w:trHeight w:val="444" w:hRule="atLeast"/>
        </w:trPr>
        <w:tc>
          <w:tcPr>
            <w:tcW w:w="718" w:type="dxa"/>
            <w:tcBorders>
              <w:top w:val="single" w:color="auto" w:sz="4" w:space="0"/>
              <w:left w:val="single" w:color="auto" w:sz="4" w:space="0"/>
              <w:bottom w:val="single" w:color="auto" w:sz="4" w:space="0"/>
              <w:right w:val="single" w:color="auto" w:sz="4" w:space="0"/>
            </w:tcBorders>
            <w:vAlign w:val="center"/>
          </w:tcPr>
          <w:p w14:paraId="229EB3CD">
            <w:pPr>
              <w:widowControl/>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序号</w:t>
            </w:r>
          </w:p>
        </w:tc>
        <w:tc>
          <w:tcPr>
            <w:tcW w:w="8652" w:type="dxa"/>
            <w:tcBorders>
              <w:top w:val="single" w:color="auto" w:sz="4" w:space="0"/>
              <w:left w:val="single" w:color="auto" w:sz="4" w:space="0"/>
              <w:bottom w:val="single" w:color="auto" w:sz="4" w:space="0"/>
              <w:right w:val="single" w:color="auto" w:sz="4" w:space="0"/>
            </w:tcBorders>
            <w:vAlign w:val="center"/>
          </w:tcPr>
          <w:p w14:paraId="1D35E384">
            <w:pPr>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审核内容</w:t>
            </w:r>
          </w:p>
        </w:tc>
      </w:tr>
      <w:tr w14:paraId="16BDA2E1">
        <w:tblPrEx>
          <w:tblCellMar>
            <w:top w:w="57" w:type="dxa"/>
            <w:left w:w="108" w:type="dxa"/>
            <w:bottom w:w="57" w:type="dxa"/>
            <w:right w:w="108" w:type="dxa"/>
          </w:tblCellMar>
        </w:tblPrEx>
        <w:trPr>
          <w:trHeight w:val="452" w:hRule="atLeast"/>
        </w:trPr>
        <w:tc>
          <w:tcPr>
            <w:tcW w:w="718" w:type="dxa"/>
            <w:tcBorders>
              <w:top w:val="single" w:color="auto" w:sz="4" w:space="0"/>
              <w:left w:val="single" w:color="auto" w:sz="4" w:space="0"/>
              <w:bottom w:val="single" w:color="auto" w:sz="4" w:space="0"/>
              <w:right w:val="single" w:color="auto" w:sz="4" w:space="0"/>
            </w:tcBorders>
            <w:vAlign w:val="center"/>
          </w:tcPr>
          <w:p w14:paraId="7E461AD2">
            <w:pPr>
              <w:widowControl/>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1</w:t>
            </w:r>
          </w:p>
        </w:tc>
        <w:tc>
          <w:tcPr>
            <w:tcW w:w="8652" w:type="dxa"/>
            <w:tcBorders>
              <w:top w:val="single" w:color="auto" w:sz="4" w:space="0"/>
              <w:left w:val="nil"/>
              <w:bottom w:val="single" w:color="auto" w:sz="4" w:space="0"/>
              <w:right w:val="single" w:color="auto" w:sz="4" w:space="0"/>
            </w:tcBorders>
          </w:tcPr>
          <w:p w14:paraId="090D5A11">
            <w:pPr>
              <w:pStyle w:val="7"/>
              <w:spacing w:line="480" w:lineRule="auto"/>
              <w:rPr>
                <w:rFonts w:hint="eastAsia" w:ascii="宋体" w:hAnsi="宋体" w:eastAsia="宋体" w:cs="宋体"/>
                <w:kern w:val="0"/>
                <w:sz w:val="24"/>
                <w:highlight w:val="none"/>
              </w:rPr>
            </w:pPr>
            <w:r>
              <w:rPr>
                <w:rFonts w:hint="eastAsia" w:ascii="宋体" w:hAnsi="宋体" w:eastAsia="宋体" w:cs="宋体"/>
                <w:kern w:val="0"/>
                <w:sz w:val="24"/>
                <w:highlight w:val="none"/>
              </w:rPr>
              <w:t>响应文件按采购文件要求签署、盖章的；</w:t>
            </w:r>
          </w:p>
        </w:tc>
      </w:tr>
      <w:tr w14:paraId="3F111D10">
        <w:tblPrEx>
          <w:tblCellMar>
            <w:top w:w="57" w:type="dxa"/>
            <w:left w:w="108" w:type="dxa"/>
            <w:bottom w:w="57" w:type="dxa"/>
            <w:right w:w="108" w:type="dxa"/>
          </w:tblCellMar>
        </w:tblPrEx>
        <w:trPr>
          <w:trHeight w:val="524" w:hRule="atLeast"/>
        </w:trPr>
        <w:tc>
          <w:tcPr>
            <w:tcW w:w="718" w:type="dxa"/>
            <w:tcBorders>
              <w:top w:val="single" w:color="auto" w:sz="4" w:space="0"/>
              <w:left w:val="single" w:color="auto" w:sz="4" w:space="0"/>
              <w:bottom w:val="single" w:color="auto" w:sz="4" w:space="0"/>
              <w:right w:val="single" w:color="auto" w:sz="4" w:space="0"/>
            </w:tcBorders>
            <w:vAlign w:val="center"/>
          </w:tcPr>
          <w:p w14:paraId="08B803AF">
            <w:pPr>
              <w:widowControl/>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2</w:t>
            </w:r>
          </w:p>
        </w:tc>
        <w:tc>
          <w:tcPr>
            <w:tcW w:w="8652" w:type="dxa"/>
            <w:tcBorders>
              <w:top w:val="single" w:color="auto" w:sz="4" w:space="0"/>
              <w:left w:val="nil"/>
              <w:bottom w:val="single" w:color="auto" w:sz="4" w:space="0"/>
              <w:right w:val="single" w:color="auto" w:sz="4" w:space="0"/>
            </w:tcBorders>
          </w:tcPr>
          <w:p w14:paraId="1AB0D19F">
            <w:pPr>
              <w:pStyle w:val="7"/>
              <w:spacing w:line="480" w:lineRule="auto"/>
              <w:rPr>
                <w:rFonts w:hint="eastAsia" w:ascii="宋体" w:hAnsi="宋体" w:eastAsia="宋体" w:cs="宋体"/>
                <w:kern w:val="0"/>
                <w:sz w:val="24"/>
                <w:highlight w:val="none"/>
              </w:rPr>
            </w:pPr>
            <w:r>
              <w:rPr>
                <w:rFonts w:hint="eastAsia" w:ascii="宋体" w:hAnsi="宋体" w:eastAsia="宋体" w:cs="宋体"/>
                <w:kern w:val="0"/>
                <w:sz w:val="24"/>
                <w:highlight w:val="none"/>
              </w:rPr>
              <w:t>磋商有效期满足采购文件要求的；</w:t>
            </w:r>
          </w:p>
        </w:tc>
      </w:tr>
      <w:tr w14:paraId="620A3CCA">
        <w:tblPrEx>
          <w:tblCellMar>
            <w:top w:w="57" w:type="dxa"/>
            <w:left w:w="108" w:type="dxa"/>
            <w:bottom w:w="57" w:type="dxa"/>
            <w:right w:w="108" w:type="dxa"/>
          </w:tblCellMar>
        </w:tblPrEx>
        <w:trPr>
          <w:trHeight w:val="510" w:hRule="atLeast"/>
        </w:trPr>
        <w:tc>
          <w:tcPr>
            <w:tcW w:w="718" w:type="dxa"/>
            <w:tcBorders>
              <w:top w:val="single" w:color="auto" w:sz="4" w:space="0"/>
              <w:left w:val="single" w:color="auto" w:sz="4" w:space="0"/>
              <w:bottom w:val="single" w:color="auto" w:sz="4" w:space="0"/>
              <w:right w:val="single" w:color="auto" w:sz="4" w:space="0"/>
            </w:tcBorders>
            <w:vAlign w:val="center"/>
          </w:tcPr>
          <w:p w14:paraId="4D5BFE90">
            <w:pPr>
              <w:widowControl/>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3</w:t>
            </w:r>
          </w:p>
        </w:tc>
        <w:tc>
          <w:tcPr>
            <w:tcW w:w="8652" w:type="dxa"/>
            <w:tcBorders>
              <w:top w:val="single" w:color="auto" w:sz="4" w:space="0"/>
              <w:left w:val="nil"/>
              <w:bottom w:val="single" w:color="auto" w:sz="4" w:space="0"/>
              <w:right w:val="single" w:color="auto" w:sz="4" w:space="0"/>
            </w:tcBorders>
          </w:tcPr>
          <w:p w14:paraId="32AF5977">
            <w:pPr>
              <w:pStyle w:val="7"/>
              <w:spacing w:line="480" w:lineRule="auto"/>
              <w:rPr>
                <w:rFonts w:hint="eastAsia" w:ascii="宋体" w:hAnsi="宋体" w:eastAsia="宋体" w:cs="宋体"/>
                <w:kern w:val="0"/>
                <w:sz w:val="24"/>
                <w:highlight w:val="none"/>
              </w:rPr>
            </w:pPr>
            <w:r>
              <w:rPr>
                <w:rFonts w:hint="eastAsia" w:ascii="宋体" w:hAnsi="宋体" w:eastAsia="宋体" w:cs="宋体"/>
                <w:kern w:val="0"/>
                <w:sz w:val="24"/>
                <w:highlight w:val="none"/>
              </w:rPr>
              <w:t>响应文件按采购文件要求报价；</w:t>
            </w:r>
          </w:p>
        </w:tc>
      </w:tr>
      <w:tr w14:paraId="18782C5F">
        <w:tblPrEx>
          <w:tblCellMar>
            <w:top w:w="57" w:type="dxa"/>
            <w:left w:w="108" w:type="dxa"/>
            <w:bottom w:w="57" w:type="dxa"/>
            <w:right w:w="108" w:type="dxa"/>
          </w:tblCellMar>
        </w:tblPrEx>
        <w:trPr>
          <w:trHeight w:val="454" w:hRule="atLeast"/>
        </w:trPr>
        <w:tc>
          <w:tcPr>
            <w:tcW w:w="718" w:type="dxa"/>
            <w:tcBorders>
              <w:top w:val="single" w:color="auto" w:sz="4" w:space="0"/>
              <w:left w:val="single" w:color="auto" w:sz="4" w:space="0"/>
              <w:bottom w:val="single" w:color="auto" w:sz="4" w:space="0"/>
              <w:right w:val="single" w:color="auto" w:sz="4" w:space="0"/>
            </w:tcBorders>
            <w:vAlign w:val="center"/>
          </w:tcPr>
          <w:p w14:paraId="0A45F028">
            <w:pPr>
              <w:widowControl/>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4</w:t>
            </w:r>
          </w:p>
        </w:tc>
        <w:tc>
          <w:tcPr>
            <w:tcW w:w="8652" w:type="dxa"/>
            <w:tcBorders>
              <w:top w:val="single" w:color="auto" w:sz="4" w:space="0"/>
              <w:left w:val="nil"/>
              <w:bottom w:val="single" w:color="auto" w:sz="4" w:space="0"/>
              <w:right w:val="single" w:color="auto" w:sz="4" w:space="0"/>
            </w:tcBorders>
          </w:tcPr>
          <w:p w14:paraId="008DAD1B">
            <w:pPr>
              <w:pStyle w:val="7"/>
              <w:spacing w:line="480" w:lineRule="auto"/>
              <w:rPr>
                <w:rFonts w:hint="eastAsia" w:ascii="宋体" w:hAnsi="宋体" w:eastAsia="宋体" w:cs="宋体"/>
                <w:kern w:val="0"/>
                <w:sz w:val="24"/>
                <w:highlight w:val="none"/>
              </w:rPr>
            </w:pPr>
            <w:r>
              <w:rPr>
                <w:rFonts w:hint="eastAsia" w:ascii="宋体" w:hAnsi="宋体" w:eastAsia="宋体" w:cs="宋体"/>
                <w:kern w:val="0"/>
                <w:sz w:val="24"/>
                <w:highlight w:val="none"/>
              </w:rPr>
              <w:t>未出现串通投标或者弄虚作假或有其他违法行为；</w:t>
            </w:r>
          </w:p>
        </w:tc>
      </w:tr>
      <w:tr w14:paraId="44F45E5E">
        <w:tblPrEx>
          <w:tblCellMar>
            <w:top w:w="57" w:type="dxa"/>
            <w:left w:w="108" w:type="dxa"/>
            <w:bottom w:w="57" w:type="dxa"/>
            <w:right w:w="108" w:type="dxa"/>
          </w:tblCellMar>
        </w:tblPrEx>
        <w:trPr>
          <w:trHeight w:val="454" w:hRule="atLeast"/>
        </w:trPr>
        <w:tc>
          <w:tcPr>
            <w:tcW w:w="718" w:type="dxa"/>
            <w:tcBorders>
              <w:top w:val="single" w:color="auto" w:sz="4" w:space="0"/>
              <w:left w:val="single" w:color="auto" w:sz="4" w:space="0"/>
              <w:bottom w:val="single" w:color="auto" w:sz="4" w:space="0"/>
              <w:right w:val="single" w:color="auto" w:sz="4" w:space="0"/>
            </w:tcBorders>
            <w:vAlign w:val="center"/>
          </w:tcPr>
          <w:p w14:paraId="56C8C826">
            <w:pPr>
              <w:widowControl/>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5</w:t>
            </w:r>
          </w:p>
        </w:tc>
        <w:tc>
          <w:tcPr>
            <w:tcW w:w="8652" w:type="dxa"/>
            <w:tcBorders>
              <w:top w:val="single" w:color="auto" w:sz="4" w:space="0"/>
              <w:left w:val="nil"/>
              <w:bottom w:val="single" w:color="auto" w:sz="4" w:space="0"/>
              <w:right w:val="single" w:color="auto" w:sz="4" w:space="0"/>
            </w:tcBorders>
          </w:tcPr>
          <w:p w14:paraId="2C6E5383">
            <w:pPr>
              <w:pStyle w:val="7"/>
              <w:spacing w:line="480" w:lineRule="auto"/>
              <w:rPr>
                <w:rFonts w:hint="eastAsia" w:ascii="宋体" w:hAnsi="宋体" w:eastAsia="宋体" w:cs="宋体"/>
                <w:kern w:val="0"/>
                <w:sz w:val="24"/>
                <w:highlight w:val="none"/>
              </w:rPr>
            </w:pPr>
            <w:r>
              <w:rPr>
                <w:rFonts w:hint="eastAsia" w:ascii="宋体" w:hAnsi="宋体" w:eastAsia="宋体" w:cs="宋体"/>
                <w:kern w:val="0"/>
                <w:sz w:val="24"/>
                <w:highlight w:val="none"/>
              </w:rPr>
              <w:t>响应文件未含有采购人不能接受的附加条件；</w:t>
            </w:r>
          </w:p>
        </w:tc>
      </w:tr>
      <w:tr w14:paraId="2B285B54">
        <w:tblPrEx>
          <w:tblCellMar>
            <w:top w:w="57" w:type="dxa"/>
            <w:left w:w="108" w:type="dxa"/>
            <w:bottom w:w="57" w:type="dxa"/>
            <w:right w:w="108" w:type="dxa"/>
          </w:tblCellMar>
        </w:tblPrEx>
        <w:trPr>
          <w:trHeight w:val="454" w:hRule="atLeast"/>
        </w:trPr>
        <w:tc>
          <w:tcPr>
            <w:tcW w:w="718" w:type="dxa"/>
            <w:tcBorders>
              <w:top w:val="single" w:color="auto" w:sz="4" w:space="0"/>
              <w:left w:val="single" w:color="auto" w:sz="4" w:space="0"/>
              <w:bottom w:val="single" w:color="auto" w:sz="4" w:space="0"/>
              <w:right w:val="single" w:color="auto" w:sz="4" w:space="0"/>
            </w:tcBorders>
            <w:vAlign w:val="center"/>
          </w:tcPr>
          <w:p w14:paraId="4BEA87DB">
            <w:pPr>
              <w:widowControl/>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6</w:t>
            </w:r>
          </w:p>
        </w:tc>
        <w:tc>
          <w:tcPr>
            <w:tcW w:w="8652" w:type="dxa"/>
            <w:tcBorders>
              <w:top w:val="single" w:color="auto" w:sz="4" w:space="0"/>
              <w:left w:val="nil"/>
              <w:bottom w:val="single" w:color="auto" w:sz="4" w:space="0"/>
              <w:right w:val="single" w:color="auto" w:sz="4" w:space="0"/>
            </w:tcBorders>
          </w:tcPr>
          <w:p w14:paraId="297C557D">
            <w:pPr>
              <w:pStyle w:val="7"/>
              <w:spacing w:line="360" w:lineRule="auto"/>
              <w:rPr>
                <w:rFonts w:hint="eastAsia" w:ascii="宋体" w:hAnsi="宋体" w:eastAsia="宋体" w:cs="宋体"/>
                <w:kern w:val="0"/>
                <w:sz w:val="24"/>
                <w:highlight w:val="none"/>
              </w:rPr>
            </w:pPr>
            <w:r>
              <w:rPr>
                <w:rFonts w:hint="eastAsia" w:ascii="宋体" w:hAnsi="宋体" w:eastAsia="宋体" w:cs="宋体"/>
                <w:kern w:val="0"/>
                <w:sz w:val="24"/>
                <w:highlight w:val="none"/>
              </w:rPr>
              <w:t>单位负责人为同一人或者存在控股、管理关系的不同供应商，不得参加同一包投标或者在未分包的同一招标项目中投标；</w:t>
            </w:r>
          </w:p>
        </w:tc>
      </w:tr>
      <w:tr w14:paraId="4602A401">
        <w:tblPrEx>
          <w:tblCellMar>
            <w:top w:w="57" w:type="dxa"/>
            <w:left w:w="108" w:type="dxa"/>
            <w:bottom w:w="57" w:type="dxa"/>
            <w:right w:w="108" w:type="dxa"/>
          </w:tblCellMar>
        </w:tblPrEx>
        <w:trPr>
          <w:trHeight w:val="454" w:hRule="atLeast"/>
        </w:trPr>
        <w:tc>
          <w:tcPr>
            <w:tcW w:w="718" w:type="dxa"/>
            <w:tcBorders>
              <w:top w:val="single" w:color="auto" w:sz="4" w:space="0"/>
              <w:left w:val="single" w:color="auto" w:sz="4" w:space="0"/>
              <w:bottom w:val="single" w:color="auto" w:sz="4" w:space="0"/>
              <w:right w:val="single" w:color="auto" w:sz="4" w:space="0"/>
            </w:tcBorders>
            <w:vAlign w:val="center"/>
          </w:tcPr>
          <w:p w14:paraId="0FDA931E">
            <w:pPr>
              <w:widowControl/>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7</w:t>
            </w:r>
          </w:p>
        </w:tc>
        <w:tc>
          <w:tcPr>
            <w:tcW w:w="8652" w:type="dxa"/>
            <w:tcBorders>
              <w:top w:val="single" w:color="auto" w:sz="4" w:space="0"/>
              <w:left w:val="nil"/>
              <w:bottom w:val="single" w:color="auto" w:sz="4" w:space="0"/>
              <w:right w:val="single" w:color="auto" w:sz="4" w:space="0"/>
            </w:tcBorders>
          </w:tcPr>
          <w:p w14:paraId="7D4AA82E">
            <w:pPr>
              <w:widowControl/>
              <w:adjustRightInd w:val="0"/>
              <w:snapToGrid w:val="0"/>
              <w:spacing w:line="360" w:lineRule="auto"/>
              <w:rPr>
                <w:rFonts w:hint="eastAsia" w:ascii="宋体" w:hAnsi="宋体" w:eastAsia="宋体" w:cs="宋体"/>
                <w:kern w:val="0"/>
                <w:sz w:val="24"/>
                <w:highlight w:val="none"/>
              </w:rPr>
            </w:pPr>
            <w:r>
              <w:rPr>
                <w:rFonts w:hint="eastAsia" w:ascii="宋体" w:hAnsi="宋体" w:eastAsia="宋体" w:cs="宋体"/>
                <w:kern w:val="0"/>
                <w:sz w:val="24"/>
                <w:highlight w:val="none"/>
              </w:rPr>
              <w:t>供应商未有下列任一情形：</w:t>
            </w:r>
          </w:p>
          <w:p w14:paraId="2A6CF1A9">
            <w:pPr>
              <w:widowControl/>
              <w:adjustRightInd w:val="0"/>
              <w:snapToGrid w:val="0"/>
              <w:spacing w:line="360" w:lineRule="auto"/>
              <w:ind w:left="2" w:leftChars="1" w:firstLine="31" w:firstLineChars="13"/>
              <w:rPr>
                <w:rFonts w:hint="eastAsia" w:ascii="宋体" w:hAnsi="宋体" w:eastAsia="宋体" w:cs="宋体"/>
                <w:kern w:val="0"/>
                <w:sz w:val="24"/>
                <w:highlight w:val="none"/>
              </w:rPr>
            </w:pPr>
            <w:r>
              <w:rPr>
                <w:rFonts w:hint="eastAsia" w:ascii="宋体" w:hAnsi="宋体" w:eastAsia="宋体" w:cs="宋体"/>
                <w:kern w:val="0"/>
                <w:sz w:val="24"/>
                <w:highlight w:val="none"/>
              </w:rPr>
              <w:t>（1）不同供应商的响应文件由同一单位或者个人编制；</w:t>
            </w:r>
          </w:p>
          <w:p w14:paraId="3575A5CA">
            <w:pPr>
              <w:widowControl/>
              <w:adjustRightInd w:val="0"/>
              <w:snapToGrid w:val="0"/>
              <w:spacing w:line="360" w:lineRule="auto"/>
              <w:ind w:left="2" w:leftChars="1" w:firstLine="31" w:firstLineChars="13"/>
              <w:rPr>
                <w:rFonts w:hint="eastAsia" w:ascii="宋体" w:hAnsi="宋体" w:eastAsia="宋体" w:cs="宋体"/>
                <w:kern w:val="0"/>
                <w:sz w:val="24"/>
                <w:highlight w:val="none"/>
              </w:rPr>
            </w:pPr>
            <w:r>
              <w:rPr>
                <w:rFonts w:hint="eastAsia" w:ascii="宋体" w:hAnsi="宋体" w:eastAsia="宋体" w:cs="宋体"/>
                <w:kern w:val="0"/>
                <w:sz w:val="24"/>
                <w:highlight w:val="none"/>
              </w:rPr>
              <w:t>（2）不同供应商委托同一单位或者个人办理投标事宜；</w:t>
            </w:r>
          </w:p>
          <w:p w14:paraId="5BABA915">
            <w:pPr>
              <w:widowControl/>
              <w:adjustRightInd w:val="0"/>
              <w:snapToGrid w:val="0"/>
              <w:spacing w:line="360" w:lineRule="auto"/>
              <w:ind w:left="2" w:leftChars="1" w:firstLine="31" w:firstLineChars="13"/>
              <w:rPr>
                <w:rFonts w:hint="eastAsia" w:ascii="宋体" w:hAnsi="宋体" w:eastAsia="宋体" w:cs="宋体"/>
                <w:kern w:val="0"/>
                <w:sz w:val="24"/>
                <w:highlight w:val="none"/>
              </w:rPr>
            </w:pPr>
            <w:r>
              <w:rPr>
                <w:rFonts w:hint="eastAsia" w:ascii="宋体" w:hAnsi="宋体" w:eastAsia="宋体" w:cs="宋体"/>
                <w:kern w:val="0"/>
                <w:sz w:val="24"/>
                <w:highlight w:val="none"/>
              </w:rPr>
              <w:t>（3）不同供应商的响应文件载明的项目管理成员或者联系人员为同一人；</w:t>
            </w:r>
          </w:p>
          <w:p w14:paraId="04E12988">
            <w:pPr>
              <w:widowControl/>
              <w:adjustRightInd w:val="0"/>
              <w:snapToGrid w:val="0"/>
              <w:spacing w:line="360" w:lineRule="auto"/>
              <w:ind w:left="2" w:leftChars="1" w:firstLine="31" w:firstLineChars="13"/>
              <w:rPr>
                <w:rFonts w:hint="eastAsia" w:ascii="宋体" w:hAnsi="宋体" w:eastAsia="宋体" w:cs="宋体"/>
                <w:kern w:val="0"/>
                <w:sz w:val="24"/>
                <w:highlight w:val="none"/>
              </w:rPr>
            </w:pPr>
            <w:r>
              <w:rPr>
                <w:rFonts w:hint="eastAsia" w:ascii="宋体" w:hAnsi="宋体" w:eastAsia="宋体" w:cs="宋体"/>
                <w:kern w:val="0"/>
                <w:sz w:val="24"/>
                <w:highlight w:val="none"/>
              </w:rPr>
              <w:t>（4）不同供应商的响应文件异常一致或者投标报价呈规律性差异；</w:t>
            </w:r>
          </w:p>
          <w:p w14:paraId="58756881">
            <w:pPr>
              <w:pStyle w:val="7"/>
              <w:spacing w:line="360" w:lineRule="auto"/>
              <w:rPr>
                <w:rFonts w:hint="eastAsia" w:ascii="宋体" w:hAnsi="宋体" w:eastAsia="宋体" w:cs="宋体"/>
                <w:kern w:val="0"/>
                <w:sz w:val="24"/>
                <w:highlight w:val="none"/>
              </w:rPr>
            </w:pPr>
            <w:r>
              <w:rPr>
                <w:rFonts w:hint="eastAsia" w:ascii="宋体" w:hAnsi="宋体" w:eastAsia="宋体" w:cs="宋体"/>
                <w:kern w:val="0"/>
                <w:sz w:val="24"/>
                <w:highlight w:val="none"/>
              </w:rPr>
              <w:t>（5）不同供应商的响应文件相互混装。</w:t>
            </w:r>
          </w:p>
        </w:tc>
      </w:tr>
      <w:tr w14:paraId="33666D44">
        <w:tblPrEx>
          <w:tblCellMar>
            <w:top w:w="57" w:type="dxa"/>
            <w:left w:w="108" w:type="dxa"/>
            <w:bottom w:w="57" w:type="dxa"/>
            <w:right w:w="108" w:type="dxa"/>
          </w:tblCellMar>
        </w:tblPrEx>
        <w:trPr>
          <w:trHeight w:val="528" w:hRule="atLeast"/>
        </w:trPr>
        <w:tc>
          <w:tcPr>
            <w:tcW w:w="718" w:type="dxa"/>
            <w:tcBorders>
              <w:top w:val="single" w:color="auto" w:sz="4" w:space="0"/>
              <w:left w:val="single" w:color="auto" w:sz="4" w:space="0"/>
              <w:bottom w:val="single" w:color="auto" w:sz="4" w:space="0"/>
              <w:right w:val="single" w:color="auto" w:sz="4" w:space="0"/>
            </w:tcBorders>
            <w:vAlign w:val="center"/>
          </w:tcPr>
          <w:p w14:paraId="02DAC61C">
            <w:pPr>
              <w:widowControl/>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8</w:t>
            </w:r>
          </w:p>
        </w:tc>
        <w:tc>
          <w:tcPr>
            <w:tcW w:w="8652" w:type="dxa"/>
            <w:tcBorders>
              <w:top w:val="single" w:color="auto" w:sz="4" w:space="0"/>
              <w:left w:val="nil"/>
              <w:bottom w:val="single" w:color="auto" w:sz="4" w:space="0"/>
              <w:right w:val="single" w:color="auto" w:sz="4" w:space="0"/>
            </w:tcBorders>
          </w:tcPr>
          <w:p w14:paraId="79EBE756">
            <w:pPr>
              <w:pStyle w:val="7"/>
              <w:spacing w:line="480" w:lineRule="auto"/>
              <w:rPr>
                <w:rFonts w:hint="eastAsia" w:ascii="宋体" w:hAnsi="宋体" w:eastAsia="宋体" w:cs="宋体"/>
                <w:kern w:val="0"/>
                <w:sz w:val="24"/>
                <w:highlight w:val="none"/>
              </w:rPr>
            </w:pPr>
            <w:r>
              <w:rPr>
                <w:rFonts w:hint="eastAsia" w:ascii="宋体" w:hAnsi="宋体" w:eastAsia="宋体" w:cs="宋体"/>
                <w:kern w:val="0"/>
                <w:sz w:val="24"/>
                <w:highlight w:val="none"/>
              </w:rPr>
              <w:t>未出现法律、法规和采购文件规定的其他无效情形。</w:t>
            </w:r>
          </w:p>
        </w:tc>
      </w:tr>
    </w:tbl>
    <w:p w14:paraId="5E84E6B0">
      <w:pPr>
        <w:rPr>
          <w:rFonts w:hint="eastAsia" w:ascii="宋体" w:hAnsi="宋体" w:eastAsia="宋体" w:cs="宋体"/>
          <w:b/>
          <w:bCs/>
          <w:szCs w:val="21"/>
          <w:highlight w:val="none"/>
        </w:rPr>
      </w:pPr>
    </w:p>
    <w:p w14:paraId="4392367D">
      <w:pPr>
        <w:pStyle w:val="15"/>
        <w:rPr>
          <w:rFonts w:hint="eastAsia" w:ascii="宋体" w:hAnsi="宋体" w:eastAsia="宋体" w:cs="宋体"/>
          <w:b/>
          <w:bCs/>
          <w:sz w:val="21"/>
          <w:szCs w:val="21"/>
          <w:highlight w:val="none"/>
        </w:rPr>
      </w:pPr>
    </w:p>
    <w:p w14:paraId="7F5F740C">
      <w:pPr>
        <w:rPr>
          <w:rStyle w:val="34"/>
          <w:rFonts w:hint="eastAsia" w:ascii="宋体" w:hAnsi="宋体" w:eastAsia="宋体" w:cs="宋体"/>
          <w:sz w:val="36"/>
          <w:szCs w:val="36"/>
          <w:highlight w:val="none"/>
        </w:rPr>
      </w:pPr>
      <w:r>
        <w:rPr>
          <w:rStyle w:val="34"/>
          <w:rFonts w:hint="eastAsia" w:ascii="宋体" w:hAnsi="宋体" w:eastAsia="宋体" w:cs="宋体"/>
          <w:sz w:val="36"/>
          <w:szCs w:val="36"/>
          <w:highlight w:val="none"/>
        </w:rPr>
        <w:br w:type="page"/>
      </w:r>
    </w:p>
    <w:p w14:paraId="7B421548">
      <w:pPr>
        <w:pStyle w:val="2"/>
        <w:keepNext w:val="0"/>
        <w:spacing w:before="0" w:after="0" w:line="240" w:lineRule="auto"/>
        <w:jc w:val="center"/>
        <w:rPr>
          <w:rFonts w:hint="eastAsia" w:ascii="宋体" w:hAnsi="宋体" w:eastAsia="宋体" w:cs="宋体"/>
          <w:color w:val="000000" w:themeColor="text1"/>
          <w:sz w:val="36"/>
          <w:szCs w:val="36"/>
          <w:highlight w:val="none"/>
          <w14:textFill>
            <w14:solidFill>
              <w14:schemeClr w14:val="tx1"/>
            </w14:solidFill>
          </w14:textFill>
        </w:rPr>
      </w:pPr>
      <w:bookmarkStart w:id="56" w:name="_Toc10107"/>
      <w:r>
        <w:rPr>
          <w:rFonts w:hint="eastAsia" w:ascii="宋体" w:hAnsi="宋体" w:eastAsia="宋体" w:cs="宋体"/>
          <w:color w:val="000000" w:themeColor="text1"/>
          <w:sz w:val="36"/>
          <w:szCs w:val="36"/>
          <w:highlight w:val="none"/>
          <w14:textFill>
            <w14:solidFill>
              <w14:schemeClr w14:val="tx1"/>
            </w14:solidFill>
          </w14:textFill>
        </w:rPr>
        <w:t>第五章 合同</w:t>
      </w:r>
      <w:bookmarkEnd w:id="54"/>
      <w:bookmarkEnd w:id="55"/>
      <w:r>
        <w:rPr>
          <w:rFonts w:hint="eastAsia" w:ascii="宋体" w:hAnsi="宋体" w:eastAsia="宋体" w:cs="宋体"/>
          <w:color w:val="000000" w:themeColor="text1"/>
          <w:sz w:val="36"/>
          <w:szCs w:val="36"/>
          <w:highlight w:val="none"/>
          <w14:textFill>
            <w14:solidFill>
              <w14:schemeClr w14:val="tx1"/>
            </w14:solidFill>
          </w14:textFill>
        </w:rPr>
        <w:t>参考格式</w:t>
      </w:r>
      <w:bookmarkEnd w:id="56"/>
    </w:p>
    <w:p w14:paraId="06020BC5">
      <w:pPr>
        <w:spacing w:before="0" w:after="0" w:line="360" w:lineRule="auto"/>
        <w:ind w:left="1260" w:hanging="1260"/>
        <w:jc w:val="center"/>
        <w:outlineLvl w:val="9"/>
        <w:rPr>
          <w:rFonts w:hint="eastAsia" w:ascii="宋体" w:hAnsi="宋体" w:eastAsia="宋体" w:cs="宋体"/>
          <w:b/>
          <w:bCs/>
          <w:sz w:val="24"/>
          <w:szCs w:val="24"/>
          <w:highlight w:val="none"/>
        </w:rPr>
      </w:pPr>
      <w:bookmarkStart w:id="57" w:name="_Toc524200262"/>
      <w:bookmarkStart w:id="58" w:name="_Toc524078641"/>
      <w:r>
        <w:rPr>
          <w:rFonts w:hint="eastAsia" w:ascii="宋体" w:hAnsi="宋体" w:eastAsia="宋体" w:cs="宋体"/>
          <w:b/>
          <w:bCs/>
          <w:sz w:val="24"/>
          <w:szCs w:val="24"/>
          <w:highlight w:val="none"/>
        </w:rPr>
        <w:t>招标代理年度委托协议</w:t>
      </w:r>
    </w:p>
    <w:p w14:paraId="4E468CA8">
      <w:pPr>
        <w:pStyle w:val="26"/>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zh-CN"/>
        </w:rPr>
        <w:t>委托方</w:t>
      </w:r>
      <w:r>
        <w:rPr>
          <w:rFonts w:hint="eastAsia" w:ascii="宋体" w:hAnsi="宋体" w:eastAsia="宋体" w:cs="宋体"/>
          <w:bCs/>
          <w:sz w:val="24"/>
          <w:szCs w:val="24"/>
          <w:highlight w:val="none"/>
        </w:rPr>
        <w:t>（</w:t>
      </w:r>
      <w:r>
        <w:rPr>
          <w:rFonts w:hint="eastAsia" w:ascii="宋体" w:hAnsi="宋体" w:eastAsia="宋体" w:cs="宋体"/>
          <w:bCs/>
          <w:sz w:val="24"/>
          <w:szCs w:val="24"/>
          <w:highlight w:val="none"/>
          <w:lang w:val="zh-CN"/>
        </w:rPr>
        <w:t>甲方</w:t>
      </w:r>
      <w:r>
        <w:rPr>
          <w:rFonts w:hint="eastAsia" w:ascii="宋体" w:hAnsi="宋体" w:eastAsia="宋体" w:cs="宋体"/>
          <w:bCs/>
          <w:sz w:val="24"/>
          <w:szCs w:val="24"/>
          <w:highlight w:val="none"/>
        </w:rPr>
        <w:t xml:space="preserve">）：                   </w:t>
      </w:r>
    </w:p>
    <w:p w14:paraId="153FD26C">
      <w:pPr>
        <w:pStyle w:val="26"/>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受托方（乙方）：</w:t>
      </w:r>
    </w:p>
    <w:p w14:paraId="4C354070">
      <w:pPr>
        <w:pStyle w:val="26"/>
        <w:spacing w:line="360" w:lineRule="auto"/>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rPr>
        <w:t xml:space="preserve">    </w:t>
      </w:r>
      <w:r>
        <w:rPr>
          <w:rFonts w:hint="eastAsia" w:ascii="宋体" w:hAnsi="宋体" w:eastAsia="宋体" w:cs="宋体"/>
          <w:bCs/>
          <w:sz w:val="24"/>
          <w:szCs w:val="24"/>
          <w:highlight w:val="none"/>
          <w:lang w:val="zh-CN"/>
        </w:rPr>
        <w:t xml:space="preserve">根据《中华人民共和国政府采购法》、《中华人民共和国政府采购法实施条例》、《中华人民共和国招投标法》、《中华人民共和国合同法》、《政府采购代理机构管理暂行办法》等法律法规，经甲乙双方协商一致，就甲方委托乙方代理甲方相关项目的采购事宜达成下列协议，以资共同遵守。 </w:t>
      </w:r>
    </w:p>
    <w:p w14:paraId="323D135B">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第一条 委托情况 甲方委托乙方代理的采购项目为： </w:t>
      </w:r>
    </w:p>
    <w:p w14:paraId="5918EB2E">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1、自行采购项目； </w:t>
      </w:r>
    </w:p>
    <w:p w14:paraId="6DF2D1F0">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2、政府分散采购项目； </w:t>
      </w:r>
    </w:p>
    <w:p w14:paraId="7375AFE8">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3、政府采购项目。 </w:t>
      </w:r>
    </w:p>
    <w:p w14:paraId="4C732101">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第二条 委托合同期限 </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lang w:val="zh-CN"/>
        </w:rPr>
        <w:t>年</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lang w:val="zh-CN"/>
        </w:rPr>
        <w:t>月</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lang w:val="zh-CN"/>
        </w:rPr>
        <w:t>日—</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lang w:val="zh-CN"/>
        </w:rPr>
        <w:t>年</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lang w:val="zh-CN"/>
        </w:rPr>
        <w:t>月</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lang w:val="zh-CN"/>
        </w:rPr>
        <w:t>日</w:t>
      </w:r>
    </w:p>
    <w:p w14:paraId="3AE00D74">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1、代理工作开始时间：按本合同签订日期。</w:t>
      </w:r>
    </w:p>
    <w:p w14:paraId="218DE876">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2、代理工作完成时间：完成全部合同内容为止。 </w:t>
      </w:r>
    </w:p>
    <w:p w14:paraId="0372701B">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非代理方原因造成的时间延误，结束时间相应延长，代理结束以项目资料移交时间为准。</w:t>
      </w:r>
    </w:p>
    <w:p w14:paraId="43A22A1D">
      <w:pPr>
        <w:widowControl/>
        <w:shd w:val="clear" w:color="auto" w:fill="FFFFFF"/>
        <w:spacing w:line="360" w:lineRule="auto"/>
        <w:ind w:firstLine="480" w:firstLineChars="200"/>
        <w:rPr>
          <w:rFonts w:hint="eastAsia" w:ascii="宋体" w:hAnsi="宋体" w:eastAsia="宋体" w:cs="宋体"/>
          <w:bCs/>
          <w:sz w:val="24"/>
          <w:highlight w:val="none"/>
          <w:lang w:val="zh-CN"/>
        </w:rPr>
      </w:pPr>
      <w:r>
        <w:rPr>
          <w:rFonts w:hint="eastAsia" w:ascii="宋体" w:hAnsi="宋体" w:eastAsia="宋体" w:cs="宋体"/>
          <w:bCs/>
          <w:sz w:val="24"/>
          <w:highlight w:val="none"/>
        </w:rPr>
        <w:t>3、</w:t>
      </w:r>
      <w:r>
        <w:rPr>
          <w:rFonts w:hint="eastAsia" w:ascii="宋体" w:hAnsi="宋体" w:eastAsia="宋体" w:cs="宋体"/>
          <w:sz w:val="24"/>
          <w:highlight w:val="none"/>
        </w:rPr>
        <w:t>合同期满，经考核合格方可续签下一年合同。服务期内如遇政策调整，按规定处理。</w:t>
      </w:r>
    </w:p>
    <w:p w14:paraId="62EB18F6">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第三条</w:t>
      </w:r>
      <w:r>
        <w:rPr>
          <w:rFonts w:hint="eastAsia" w:ascii="宋体" w:hAnsi="宋体" w:eastAsia="宋体" w:cs="宋体"/>
          <w:bCs/>
          <w:sz w:val="24"/>
          <w:szCs w:val="24"/>
          <w:highlight w:val="none"/>
        </w:rPr>
        <w:t xml:space="preserve"> </w:t>
      </w:r>
      <w:r>
        <w:rPr>
          <w:rFonts w:hint="eastAsia" w:ascii="宋体" w:hAnsi="宋体" w:eastAsia="宋体" w:cs="宋体"/>
          <w:bCs/>
          <w:sz w:val="24"/>
          <w:szCs w:val="24"/>
          <w:highlight w:val="none"/>
          <w:lang w:val="zh-CN"/>
        </w:rPr>
        <w:t xml:space="preserve">甲方委托乙方办理的事项范围（包括但不仅限于以下要求,具体内容和招标及投标文件保持一致） </w:t>
      </w:r>
    </w:p>
    <w:p w14:paraId="6E40C7FD">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1、起草、编制采购文件。 </w:t>
      </w:r>
    </w:p>
    <w:p w14:paraId="34A023EE">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2、组织供应商、专家对采购文件进行论证。</w:t>
      </w:r>
    </w:p>
    <w:p w14:paraId="1F816398">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3、制作、发布采购信息公告及更正公告。</w:t>
      </w:r>
    </w:p>
    <w:p w14:paraId="5FA798D5">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4、组织踏勘现场及答疑会。 </w:t>
      </w:r>
    </w:p>
    <w:p w14:paraId="21114578">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5、在政府采购专家库中选取评审专家。</w:t>
      </w:r>
    </w:p>
    <w:p w14:paraId="4BA793F5">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6、接收供应商递交的响应文件。 </w:t>
      </w:r>
    </w:p>
    <w:p w14:paraId="66033986">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7、组织评审专家评审。</w:t>
      </w:r>
    </w:p>
    <w:p w14:paraId="136AF4AC">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8、向采购人提交评审报告。</w:t>
      </w:r>
    </w:p>
    <w:p w14:paraId="31304EE1">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9、制作、发布采购结果信息公告。</w:t>
      </w:r>
    </w:p>
    <w:p w14:paraId="44A7F036">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10、发出中标或成交通知书。 </w:t>
      </w:r>
    </w:p>
    <w:p w14:paraId="4116AF82">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11、协助甲方与中标人或成交供应商签订合同，按照规定程序办理合同签证、合同备案。</w:t>
      </w:r>
    </w:p>
    <w:p w14:paraId="05661CC5">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12、法律法规规定的采购代理机构为完成采购项目应该履行的其他职责。 </w:t>
      </w:r>
    </w:p>
    <w:p w14:paraId="3A0FFD79">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第四条</w:t>
      </w:r>
      <w:r>
        <w:rPr>
          <w:rFonts w:hint="eastAsia" w:ascii="宋体" w:hAnsi="宋体" w:eastAsia="宋体" w:cs="宋体"/>
          <w:bCs/>
          <w:sz w:val="24"/>
          <w:szCs w:val="24"/>
          <w:highlight w:val="none"/>
        </w:rPr>
        <w:t xml:space="preserve"> </w:t>
      </w:r>
      <w:r>
        <w:rPr>
          <w:rFonts w:hint="eastAsia" w:ascii="宋体" w:hAnsi="宋体" w:eastAsia="宋体" w:cs="宋体"/>
          <w:bCs/>
          <w:sz w:val="24"/>
          <w:szCs w:val="24"/>
          <w:highlight w:val="none"/>
          <w:lang w:val="zh-CN"/>
        </w:rPr>
        <w:t>甲方的权利和义务</w:t>
      </w:r>
    </w:p>
    <w:p w14:paraId="3F0B8604">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1、甲方应依照《中华人民共和国政府采购法》、《中华人民共和国招投标法》及其条例等法律法规和规章的规定，委托乙方对项目实施采购。</w:t>
      </w:r>
    </w:p>
    <w:p w14:paraId="7C9D90D6">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2、甲方向乙方提供招标代理工作范围内所需的文件和资料，不得以不合理的条件对供应商实行差别待遇或歧视待遇。</w:t>
      </w:r>
    </w:p>
    <w:p w14:paraId="41E97B8C">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3、甲方应依法向管理部门报请备案和审批事项，并保证采购项目的前期准备工作已经完成，实施过程中积极配合乙方工作。</w:t>
      </w:r>
    </w:p>
    <w:p w14:paraId="682CBB7D">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4、甲方指定专人处理委托、项目论证等采购过程中的有关事宜。 </w:t>
      </w:r>
    </w:p>
    <w:p w14:paraId="2A1EB012">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5、甲方配合乙方做好采购文件的编制、澄清和修改工作，并对其内容审核确认、签字盖章。</w:t>
      </w:r>
    </w:p>
    <w:p w14:paraId="7F71AFE8">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6、甲方可按照相关规定委派一名代表参加采购项目评审。甲方委派人员应准时参加评标，遵守评审纪律，并对评审内容负有保密责任。如果甲方不参加评审，或者放弃评审资格的，应在评审工作开始三个工作日前通知乙方。</w:t>
      </w:r>
    </w:p>
    <w:p w14:paraId="36BE63C9">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7、甲方选择并认可下列第（</w:t>
      </w:r>
      <w:r>
        <w:rPr>
          <w:rFonts w:hint="eastAsia" w:ascii="宋体" w:hAnsi="宋体" w:eastAsia="宋体" w:cs="宋体"/>
          <w:bCs/>
          <w:sz w:val="24"/>
          <w:szCs w:val="24"/>
          <w:highlight w:val="none"/>
        </w:rPr>
        <w:t>1</w:t>
      </w:r>
      <w:r>
        <w:rPr>
          <w:rFonts w:hint="eastAsia" w:ascii="宋体" w:hAnsi="宋体" w:eastAsia="宋体" w:cs="宋体"/>
          <w:bCs/>
          <w:sz w:val="24"/>
          <w:szCs w:val="24"/>
          <w:highlight w:val="none"/>
          <w:lang w:val="zh-CN"/>
        </w:rPr>
        <w:t xml:space="preserve">）种方式确定中标或成交供应商： </w:t>
      </w:r>
    </w:p>
    <w:p w14:paraId="41A8AF03">
      <w:pPr>
        <w:pStyle w:val="26"/>
        <w:spacing w:line="360" w:lineRule="auto"/>
        <w:ind w:firstLine="240" w:firstLineChars="1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（1）甲方应当自收到评审报告之日起5个工作日内在评审报告推荐的中标或者成交候选人中按顺序确定中标或者成交供应商；</w:t>
      </w:r>
    </w:p>
    <w:p w14:paraId="0179AE30">
      <w:pPr>
        <w:pStyle w:val="26"/>
        <w:spacing w:line="360" w:lineRule="auto"/>
        <w:ind w:firstLine="240" w:firstLineChars="1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（2）甲方授权评审委员会直接确定中标或者成交供应商。 </w:t>
      </w:r>
    </w:p>
    <w:p w14:paraId="6744E3CF">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8、甲方应对采购过程中涉及的商业秘密进行保密，不得将可能影响采购工作公正性的信息透露给利害关系人。</w:t>
      </w:r>
    </w:p>
    <w:p w14:paraId="16D4BEF6">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第五条 乙方的权利和义务 </w:t>
      </w:r>
    </w:p>
    <w:p w14:paraId="3DA9458C">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1、乙方应依照《中华人民共和国政府采购法》、《中华人民共和国招投标法》及其条例等法律法规和规章的规定，组织对甲方委托的采购项目实施采购。</w:t>
      </w:r>
    </w:p>
    <w:p w14:paraId="3CCFC1D1">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2、乙方应按照甲方委托事项及提供的采购需求，依法编制采购文件、澄清文件及乙方受托事项范围内的答疑。</w:t>
      </w:r>
    </w:p>
    <w:p w14:paraId="49E931E0">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3、乙方指定具体人员负责委托项目采购工作的实施，及时与甲方沟通情况。</w:t>
      </w:r>
    </w:p>
    <w:p w14:paraId="4CE01FF1">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4、乙方有权要求甲方就采购需求中对潜在投标人实行差别待遇或歧视待遇的内容进行修改。甲方拒不改正的，乙方将向同级人民政府财政部门报告，并有权拒绝接受甲方的委托代理。 </w:t>
      </w:r>
    </w:p>
    <w:p w14:paraId="6C1511A5">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5、乙方应按照财政部《政府采购供应商质疑与投诉管理办法》的规定依法答复供应商对其采购项目提出的质疑。乙方答复质疑内容：供应商资质条件、技术参数或服务条款、评审因素、其他实质性需求等。</w:t>
      </w:r>
    </w:p>
    <w:p w14:paraId="14AC6620">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6、乙方应当自评审结束之日起2个工作日内将评审报告送交甲方，于中标、成交供应商确定之日起2个工作日内，发出中标、成交通知书，并在指定的媒体上公告中标、成交结果。 </w:t>
      </w:r>
    </w:p>
    <w:p w14:paraId="4B143F36">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7、乙方对采购过程中涉及的商业秘密负有保密义务，不得将可能影响采购工作公正性的信息透露给利害关系人。 </w:t>
      </w:r>
    </w:p>
    <w:p w14:paraId="176D3567">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8、乙方应建立完整的采购档案，妥善保管采购活动的采购文件及相关资料，项目结束后15日内需向甲方提交壹份完整的需装订成册的归档资料。 </w:t>
      </w:r>
    </w:p>
    <w:p w14:paraId="05339005">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9、乙方不得将采购项目委托给第三方实施采购，否则乙方应承担相应责任。 </w:t>
      </w:r>
    </w:p>
    <w:p w14:paraId="00000B24">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10、乙方有义务向甲方提供招标计划以及相关的招投标资料，做好相关法律、法规及规章的解释工作。 </w:t>
      </w:r>
    </w:p>
    <w:p w14:paraId="5918F9D0">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11、乙方工作人员如与本项目潜在投标人有任何利益关系应主动提出回避。 </w:t>
      </w:r>
    </w:p>
    <w:p w14:paraId="76FEE3A3">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12、乙方应对代理过程中提出的技术方案、数据参数、技术经济分析结论负责。 </w:t>
      </w:r>
    </w:p>
    <w:p w14:paraId="2A5ABE31">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13、乙方成立招标代理项目组，并任命</w:t>
      </w:r>
      <w:r>
        <w:rPr>
          <w:rFonts w:hint="eastAsia" w:ascii="宋体" w:hAnsi="宋体" w:eastAsia="宋体" w:cs="宋体"/>
          <w:bCs/>
          <w:sz w:val="24"/>
          <w:szCs w:val="24"/>
          <w:highlight w:val="none"/>
          <w:u w:val="single"/>
          <w:lang w:val="zh-CN"/>
        </w:rPr>
        <w:t xml:space="preserve">  </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lang w:val="zh-CN"/>
        </w:rPr>
        <w:t xml:space="preserve">为项目组组长，负责该项目招标代理工作。 </w:t>
      </w:r>
    </w:p>
    <w:p w14:paraId="1D80CF9D">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第六条 代理服务费计算</w:t>
      </w:r>
    </w:p>
    <w:p w14:paraId="2F9AA4B3">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1、招标代理服务费收费标准：</w:t>
      </w:r>
    </w:p>
    <w:p w14:paraId="31FCB52A">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招标代理服务费参照国家计委颁布的计价格[2002]1980号文《招标代理服务收费管理暂行办法》所规定标准由中标单位按规定的</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lang w:val="zh-CN"/>
        </w:rPr>
        <w:t>%向代理人支付。</w:t>
      </w:r>
      <w:r>
        <w:rPr>
          <w:rFonts w:hint="eastAsia" w:ascii="宋体" w:hAnsi="宋体" w:eastAsia="宋体" w:cs="宋体"/>
          <w:sz w:val="24"/>
          <w:highlight w:val="none"/>
        </w:rPr>
        <w:t>单次采购代理服务费金额低于</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元的，按</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元人民币计取。</w:t>
      </w:r>
    </w:p>
    <w:p w14:paraId="5242D650">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2、以上招标代理费包括涉及本项目所有需招标代理项目的费用及税费。 </w:t>
      </w:r>
    </w:p>
    <w:p w14:paraId="2BE05167">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rPr>
        <w:t>3、</w:t>
      </w:r>
      <w:r>
        <w:rPr>
          <w:rFonts w:hint="eastAsia" w:ascii="宋体" w:hAnsi="宋体" w:eastAsia="宋体" w:cs="宋体"/>
          <w:bCs/>
          <w:sz w:val="24"/>
          <w:szCs w:val="24"/>
          <w:highlight w:val="none"/>
          <w:lang w:val="zh-CN"/>
        </w:rPr>
        <w:t xml:space="preserve">招标代理服务费由中标单位领取中标通知书时向招标代理机构一次性支付。 </w:t>
      </w:r>
    </w:p>
    <w:p w14:paraId="59BDD3E6">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4、根据项目规模须外聘评审专家的（包括进口产品专家论证），专家的评审费由乙方代为支付，甲方自行支付的情形除外。</w:t>
      </w:r>
    </w:p>
    <w:p w14:paraId="15E2710E">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第七条 协议的变更和终止 甲乙双方在协商一致的情况下，可以在法律法规许可范围内对委托协议内容做出变更，签订补充协议。如因不可抗力或政策原因，致使采购项目发生更改或撤销，本协议应作相应变更或终止。</w:t>
      </w:r>
    </w:p>
    <w:p w14:paraId="189A3F78">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第八条 违约和争议解决 </w:t>
      </w:r>
    </w:p>
    <w:p w14:paraId="2D4AF18C">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1、由于一方违约造成的损失，由违约方承担并承担服务费20%的违约金责任，另一方要求违约方继续履行合同时，违约方承担上述违约责任后仍应继续履行合同。</w:t>
      </w:r>
    </w:p>
    <w:p w14:paraId="3FA06914">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2、由于违约造成第三方损失的，也由违约方在赔偿另一方损失的基础上再赔偿第三方损失。 </w:t>
      </w:r>
    </w:p>
    <w:p w14:paraId="5A7C6F48">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3、双方对代理合同条款变更时必须另签补充合同条款，补充合同条款作为本代理合同的组成部分与主合同具有同等法律效力。 </w:t>
      </w:r>
    </w:p>
    <w:p w14:paraId="10E6ACB2">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4、本合同受中华人民共和国法律管辖，委托人与代理人在合同履行期间发生争议时，可以和解或者要求有关主管部门调解。一方不愿和解、调解或者和解、调解不成的，任何一方均可向项目所在地的人民法院提起诉讼。 </w:t>
      </w:r>
    </w:p>
    <w:p w14:paraId="4064F765">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第九条 其他 </w:t>
      </w:r>
    </w:p>
    <w:p w14:paraId="3DB48560">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1.本协议未尽事宜，甲乙双方可另行签订补充协议。</w:t>
      </w:r>
    </w:p>
    <w:p w14:paraId="11F84F46">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2.本协议一式肆份，甲乙双方各执贰份。 </w:t>
      </w:r>
    </w:p>
    <w:p w14:paraId="5320B2EE">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3.本协议于甲乙双方法定代表人或授权代表签字并加盖公章之日起生效。  </w:t>
      </w:r>
    </w:p>
    <w:p w14:paraId="7800BF16">
      <w:pPr>
        <w:pStyle w:val="26"/>
        <w:spacing w:line="360" w:lineRule="auto"/>
        <w:rPr>
          <w:rFonts w:hint="eastAsia" w:ascii="宋体" w:hAnsi="宋体" w:eastAsia="宋体" w:cs="宋体"/>
          <w:bCs/>
          <w:sz w:val="24"/>
          <w:szCs w:val="24"/>
          <w:highlight w:val="none"/>
          <w:lang w:val="zh-CN"/>
        </w:rPr>
      </w:pPr>
    </w:p>
    <w:p w14:paraId="43D37496">
      <w:pPr>
        <w:pStyle w:val="26"/>
        <w:spacing w:line="360" w:lineRule="auto"/>
        <w:rPr>
          <w:rFonts w:hint="eastAsia" w:ascii="宋体" w:hAnsi="宋体" w:eastAsia="宋体" w:cs="宋体"/>
          <w:bCs/>
          <w:sz w:val="24"/>
          <w:szCs w:val="24"/>
          <w:highlight w:val="none"/>
          <w:lang w:val="zh-CN"/>
        </w:rPr>
      </w:pPr>
    </w:p>
    <w:p w14:paraId="16D1E41B">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甲方：（盖章）     </w:t>
      </w:r>
      <w:r>
        <w:rPr>
          <w:rFonts w:hint="eastAsia" w:ascii="宋体" w:hAnsi="宋体" w:eastAsia="宋体" w:cs="宋体"/>
          <w:bCs/>
          <w:sz w:val="24"/>
          <w:szCs w:val="24"/>
          <w:highlight w:val="none"/>
        </w:rPr>
        <w:t xml:space="preserve">      </w:t>
      </w:r>
      <w:r>
        <w:rPr>
          <w:rFonts w:hint="eastAsia" w:ascii="宋体" w:hAnsi="宋体" w:eastAsia="宋体" w:cs="宋体"/>
          <w:bCs/>
          <w:sz w:val="24"/>
          <w:szCs w:val="24"/>
          <w:highlight w:val="none"/>
          <w:lang w:val="zh-CN"/>
        </w:rPr>
        <w:t> </w:t>
      </w:r>
      <w:r>
        <w:rPr>
          <w:rFonts w:hint="eastAsia" w:ascii="宋体" w:hAnsi="宋体" w:eastAsia="宋体" w:cs="宋体"/>
          <w:bCs/>
          <w:sz w:val="24"/>
          <w:szCs w:val="24"/>
          <w:highlight w:val="none"/>
        </w:rPr>
        <w:t xml:space="preserve">    </w:t>
      </w:r>
      <w:r>
        <w:rPr>
          <w:rFonts w:hint="eastAsia" w:ascii="宋体" w:hAnsi="宋体" w:eastAsia="宋体" w:cs="宋体"/>
          <w:bCs/>
          <w:sz w:val="24"/>
          <w:szCs w:val="24"/>
          <w:highlight w:val="none"/>
          <w:lang w:val="zh-CN"/>
        </w:rPr>
        <w:t xml:space="preserve">乙方：（盖章）   </w:t>
      </w:r>
    </w:p>
    <w:p w14:paraId="04552267">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法定代表人：     </w:t>
      </w:r>
      <w:r>
        <w:rPr>
          <w:rFonts w:hint="eastAsia" w:ascii="宋体" w:hAnsi="宋体" w:eastAsia="宋体" w:cs="宋体"/>
          <w:bCs/>
          <w:sz w:val="24"/>
          <w:szCs w:val="24"/>
          <w:highlight w:val="none"/>
        </w:rPr>
        <w:t xml:space="preserve">              </w:t>
      </w:r>
      <w:r>
        <w:rPr>
          <w:rFonts w:hint="eastAsia" w:ascii="宋体" w:hAnsi="宋体" w:eastAsia="宋体" w:cs="宋体"/>
          <w:bCs/>
          <w:sz w:val="24"/>
          <w:szCs w:val="24"/>
          <w:highlight w:val="none"/>
          <w:lang w:val="zh-CN"/>
        </w:rPr>
        <w:t>法定代表人：  </w:t>
      </w:r>
    </w:p>
    <w:p w14:paraId="0AF4259D">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委托代理人：</w:t>
      </w:r>
      <w:r>
        <w:rPr>
          <w:rFonts w:hint="eastAsia" w:ascii="宋体" w:hAnsi="宋体" w:eastAsia="宋体" w:cs="宋体"/>
          <w:bCs/>
          <w:sz w:val="24"/>
          <w:szCs w:val="24"/>
          <w:highlight w:val="none"/>
        </w:rPr>
        <w:t xml:space="preserve">                       </w:t>
      </w:r>
      <w:r>
        <w:rPr>
          <w:rFonts w:hint="eastAsia" w:ascii="宋体" w:hAnsi="宋体" w:eastAsia="宋体" w:cs="宋体"/>
          <w:bCs/>
          <w:sz w:val="24"/>
          <w:szCs w:val="24"/>
          <w:highlight w:val="none"/>
          <w:lang w:val="zh-CN"/>
        </w:rPr>
        <w:t>委托代理人：</w:t>
      </w:r>
    </w:p>
    <w:p w14:paraId="233595EF">
      <w:pPr>
        <w:pStyle w:val="26"/>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电话：                             电话：</w:t>
      </w:r>
    </w:p>
    <w:p w14:paraId="3A5377A4">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单位地址：             单位地址：           </w:t>
      </w:r>
    </w:p>
    <w:p w14:paraId="7FB0933A">
      <w:pPr>
        <w:pStyle w:val="26"/>
        <w:spacing w:line="360" w:lineRule="auto"/>
        <w:ind w:firstLine="480" w:firstLineChars="200"/>
        <w:rPr>
          <w:rFonts w:hint="eastAsia" w:ascii="宋体" w:hAnsi="宋体" w:eastAsia="宋体" w:cs="宋体"/>
          <w:bCs/>
          <w:sz w:val="24"/>
          <w:szCs w:val="24"/>
          <w:highlight w:val="none"/>
          <w:lang w:val="zh-CN"/>
        </w:rPr>
      </w:pPr>
      <w:r>
        <w:rPr>
          <w:rFonts w:hint="eastAsia" w:ascii="宋体" w:hAnsi="宋体" w:eastAsia="宋体" w:cs="宋体"/>
          <w:bCs/>
          <w:sz w:val="24"/>
          <w:szCs w:val="24"/>
          <w:highlight w:val="none"/>
          <w:lang w:val="zh-CN"/>
        </w:rPr>
        <w:t xml:space="preserve">签订日期：           </w:t>
      </w:r>
      <w:r>
        <w:rPr>
          <w:rFonts w:hint="eastAsia" w:ascii="宋体" w:hAnsi="宋体" w:eastAsia="宋体" w:cs="宋体"/>
          <w:bCs/>
          <w:sz w:val="24"/>
          <w:szCs w:val="24"/>
          <w:highlight w:val="none"/>
        </w:rPr>
        <w:t xml:space="preserve">      </w:t>
      </w:r>
      <w:r>
        <w:rPr>
          <w:rFonts w:hint="eastAsia" w:ascii="宋体" w:hAnsi="宋体" w:eastAsia="宋体" w:cs="宋体"/>
          <w:bCs/>
          <w:sz w:val="24"/>
          <w:szCs w:val="24"/>
          <w:highlight w:val="none"/>
          <w:lang w:val="zh-CN"/>
        </w:rPr>
        <w:t>签订日期：   </w:t>
      </w:r>
    </w:p>
    <w:p w14:paraId="1DBC754E">
      <w:pPr>
        <w:pStyle w:val="26"/>
        <w:rPr>
          <w:rFonts w:hint="eastAsia" w:ascii="宋体" w:hAnsi="宋体" w:eastAsia="宋体" w:cs="宋体"/>
          <w:bCs/>
          <w:sz w:val="24"/>
          <w:szCs w:val="24"/>
          <w:highlight w:val="none"/>
          <w:lang w:val="zh-CN"/>
        </w:rPr>
      </w:pPr>
    </w:p>
    <w:p w14:paraId="4379D910">
      <w:pPr>
        <w:pStyle w:val="26"/>
        <w:rPr>
          <w:rFonts w:hint="eastAsia" w:ascii="宋体" w:hAnsi="宋体" w:eastAsia="宋体" w:cs="宋体"/>
          <w:bCs/>
          <w:sz w:val="24"/>
          <w:szCs w:val="24"/>
          <w:highlight w:val="none"/>
          <w:lang w:val="zh-CN"/>
        </w:rPr>
      </w:pPr>
    </w:p>
    <w:p w14:paraId="2EAA2D67">
      <w:pPr>
        <w:pStyle w:val="2"/>
        <w:keepNext w:val="0"/>
        <w:spacing w:before="0" w:after="0" w:line="240" w:lineRule="auto"/>
        <w:jc w:val="center"/>
        <w:rPr>
          <w:rFonts w:hint="eastAsia" w:ascii="宋体" w:hAnsi="宋体" w:eastAsia="宋体" w:cs="宋体"/>
          <w:color w:val="000000" w:themeColor="text1"/>
          <w:sz w:val="36"/>
          <w:szCs w:val="36"/>
          <w:highlight w:val="none"/>
          <w14:textFill>
            <w14:solidFill>
              <w14:schemeClr w14:val="tx1"/>
            </w14:solidFill>
          </w14:textFill>
        </w:rPr>
      </w:pPr>
      <w:bookmarkStart w:id="59" w:name="_Toc8076"/>
      <w:r>
        <w:rPr>
          <w:rFonts w:hint="eastAsia" w:ascii="宋体" w:hAnsi="宋体" w:eastAsia="宋体" w:cs="宋体"/>
          <w:color w:val="000000" w:themeColor="text1"/>
          <w:sz w:val="36"/>
          <w:szCs w:val="36"/>
          <w:highlight w:val="none"/>
          <w:lang w:val="en-US" w:eastAsia="zh-CN"/>
          <w14:textFill>
            <w14:solidFill>
              <w14:schemeClr w14:val="tx1"/>
            </w14:solidFill>
          </w14:textFill>
        </w:rPr>
        <w:t xml:space="preserve">第六章 </w:t>
      </w:r>
      <w:r>
        <w:rPr>
          <w:rFonts w:hint="eastAsia" w:ascii="宋体" w:hAnsi="宋体" w:eastAsia="宋体" w:cs="宋体"/>
          <w:color w:val="000000" w:themeColor="text1"/>
          <w:sz w:val="36"/>
          <w:szCs w:val="36"/>
          <w:highlight w:val="none"/>
          <w14:textFill>
            <w14:solidFill>
              <w14:schemeClr w14:val="tx1"/>
            </w14:solidFill>
          </w14:textFill>
        </w:rPr>
        <w:t>磋商响应文件格式</w:t>
      </w:r>
      <w:bookmarkEnd w:id="57"/>
      <w:bookmarkEnd w:id="58"/>
      <w:bookmarkEnd w:id="59"/>
      <w:bookmarkStart w:id="60" w:name="_Toc524078642"/>
    </w:p>
    <w:p w14:paraId="3A0CE34A">
      <w:pPr>
        <w:rPr>
          <w:rFonts w:hint="eastAsia" w:ascii="宋体" w:hAnsi="宋体" w:eastAsia="宋体" w:cs="宋体"/>
          <w:b/>
          <w:sz w:val="24"/>
          <w:highlight w:val="none"/>
        </w:rPr>
      </w:pPr>
    </w:p>
    <w:p w14:paraId="6BA6D27A">
      <w:pPr>
        <w:rPr>
          <w:rFonts w:hint="eastAsia" w:ascii="宋体" w:hAnsi="宋体" w:eastAsia="宋体" w:cs="宋体"/>
          <w:b/>
          <w:sz w:val="24"/>
          <w:highlight w:val="none"/>
        </w:rPr>
      </w:pPr>
    </w:p>
    <w:p w14:paraId="36C30775">
      <w:pPr>
        <w:rPr>
          <w:rFonts w:hint="eastAsia" w:ascii="宋体" w:hAnsi="宋体" w:eastAsia="宋体" w:cs="宋体"/>
          <w:b/>
          <w:sz w:val="24"/>
          <w:highlight w:val="none"/>
        </w:rPr>
      </w:pPr>
      <w:r>
        <w:rPr>
          <w:rFonts w:hint="eastAsia" w:ascii="宋体" w:hAnsi="宋体" w:eastAsia="宋体" w:cs="宋体"/>
          <w:b/>
          <w:sz w:val="24"/>
          <w:highlight w:val="none"/>
        </w:rPr>
        <w:t>磋商响应文件封面</w:t>
      </w:r>
    </w:p>
    <w:p w14:paraId="591F7E35">
      <w:pPr>
        <w:pStyle w:val="12"/>
        <w:spacing w:line="360" w:lineRule="auto"/>
        <w:jc w:val="center"/>
        <w:rPr>
          <w:rFonts w:hint="eastAsia" w:ascii="宋体" w:hAnsi="宋体" w:eastAsia="宋体" w:cs="宋体"/>
          <w:sz w:val="24"/>
          <w:szCs w:val="24"/>
          <w:highlight w:val="none"/>
        </w:rPr>
      </w:pPr>
    </w:p>
    <w:p w14:paraId="7DAF22AC">
      <w:pPr>
        <w:pStyle w:val="12"/>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（正本/副本）</w:t>
      </w:r>
    </w:p>
    <w:p w14:paraId="1F07628A">
      <w:pPr>
        <w:pStyle w:val="12"/>
        <w:spacing w:line="360" w:lineRule="auto"/>
        <w:rPr>
          <w:rFonts w:hint="eastAsia" w:ascii="宋体" w:hAnsi="宋体" w:eastAsia="宋体" w:cs="宋体"/>
          <w:sz w:val="24"/>
          <w:szCs w:val="24"/>
          <w:highlight w:val="none"/>
        </w:rPr>
      </w:pPr>
    </w:p>
    <w:p w14:paraId="7E08BF49">
      <w:pPr>
        <w:pStyle w:val="12"/>
        <w:tabs>
          <w:tab w:val="left" w:pos="1260"/>
        </w:tabs>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rPr>
        <w:t>项目</w:t>
      </w:r>
    </w:p>
    <w:p w14:paraId="32C89C0D">
      <w:pPr>
        <w:pStyle w:val="12"/>
        <w:tabs>
          <w:tab w:val="left" w:pos="2464"/>
        </w:tabs>
        <w:spacing w:line="360" w:lineRule="auto"/>
        <w:jc w:val="center"/>
        <w:rPr>
          <w:rFonts w:hint="eastAsia" w:ascii="宋体" w:hAnsi="宋体" w:eastAsia="宋体" w:cs="宋体"/>
          <w:sz w:val="28"/>
          <w:szCs w:val="28"/>
          <w:highlight w:val="none"/>
        </w:rPr>
      </w:pPr>
    </w:p>
    <w:p w14:paraId="385037F0">
      <w:pPr>
        <w:pStyle w:val="12"/>
        <w:tabs>
          <w:tab w:val="left" w:pos="1260"/>
        </w:tabs>
        <w:spacing w:line="360" w:lineRule="auto"/>
        <w:jc w:val="center"/>
        <w:rPr>
          <w:rFonts w:hint="eastAsia" w:ascii="宋体" w:hAnsi="宋体" w:eastAsia="宋体" w:cs="宋体"/>
          <w:b/>
          <w:sz w:val="44"/>
          <w:szCs w:val="44"/>
          <w:highlight w:val="none"/>
        </w:rPr>
      </w:pPr>
      <w:r>
        <w:rPr>
          <w:rFonts w:hint="eastAsia" w:ascii="宋体" w:hAnsi="宋体" w:eastAsia="宋体" w:cs="宋体"/>
          <w:b/>
          <w:kern w:val="0"/>
          <w:sz w:val="44"/>
          <w:szCs w:val="44"/>
          <w:highlight w:val="none"/>
        </w:rPr>
        <w:t xml:space="preserve">磋商响应文件 </w:t>
      </w:r>
    </w:p>
    <w:p w14:paraId="5AA4692F">
      <w:pPr>
        <w:pStyle w:val="12"/>
        <w:spacing w:line="360" w:lineRule="auto"/>
        <w:jc w:val="center"/>
        <w:rPr>
          <w:rFonts w:hint="eastAsia" w:ascii="宋体" w:hAnsi="宋体" w:eastAsia="宋体" w:cs="宋体"/>
          <w:sz w:val="28"/>
          <w:szCs w:val="28"/>
          <w:highlight w:val="none"/>
        </w:rPr>
      </w:pPr>
    </w:p>
    <w:p w14:paraId="333062B1">
      <w:pPr>
        <w:pStyle w:val="12"/>
        <w:spacing w:line="360" w:lineRule="auto"/>
        <w:jc w:val="center"/>
        <w:rPr>
          <w:rFonts w:hint="eastAsia" w:ascii="宋体" w:hAnsi="宋体" w:eastAsia="宋体" w:cs="宋体"/>
          <w:sz w:val="28"/>
          <w:szCs w:val="28"/>
          <w:highlight w:val="none"/>
        </w:rPr>
      </w:pPr>
    </w:p>
    <w:p w14:paraId="239E3602">
      <w:pPr>
        <w:pStyle w:val="12"/>
        <w:tabs>
          <w:tab w:val="left" w:pos="1260"/>
        </w:tabs>
        <w:spacing w:line="360" w:lineRule="auto"/>
        <w:ind w:firstLine="2478" w:firstLineChars="1180"/>
        <w:rPr>
          <w:rFonts w:hint="eastAsia" w:ascii="宋体" w:hAnsi="宋体" w:eastAsia="宋体" w:cs="宋体"/>
          <w:kern w:val="0"/>
          <w:highlight w:val="none"/>
        </w:rPr>
      </w:pPr>
    </w:p>
    <w:p w14:paraId="7486CE1A">
      <w:pPr>
        <w:pStyle w:val="12"/>
        <w:tabs>
          <w:tab w:val="left" w:pos="1260"/>
        </w:tabs>
        <w:spacing w:line="360" w:lineRule="auto"/>
        <w:ind w:firstLine="2160" w:firstLineChars="900"/>
        <w:rPr>
          <w:rFonts w:hint="eastAsia" w:ascii="宋体" w:hAnsi="宋体" w:eastAsia="宋体" w:cs="宋体"/>
          <w:spacing w:val="100"/>
          <w:w w:val="110"/>
          <w:kern w:val="0"/>
          <w:highlight w:val="none"/>
        </w:rPr>
      </w:pPr>
      <w:r>
        <w:rPr>
          <w:rFonts w:hint="eastAsia" w:ascii="宋体" w:hAnsi="宋体" w:eastAsia="宋体" w:cs="宋体"/>
          <w:kern w:val="0"/>
          <w:sz w:val="24"/>
          <w:szCs w:val="24"/>
          <w:highlight w:val="none"/>
        </w:rPr>
        <w:t>项目编号：</w:t>
      </w:r>
      <w:r>
        <w:rPr>
          <w:rFonts w:hint="eastAsia" w:ascii="宋体" w:hAnsi="宋体" w:eastAsia="宋体" w:cs="宋体"/>
          <w:kern w:val="0"/>
          <w:sz w:val="24"/>
          <w:szCs w:val="24"/>
          <w:highlight w:val="none"/>
          <w:u w:val="single"/>
        </w:rPr>
        <w:t xml:space="preserve">                     </w:t>
      </w:r>
      <w:r>
        <w:rPr>
          <w:rFonts w:hint="eastAsia" w:ascii="宋体" w:hAnsi="宋体" w:eastAsia="宋体" w:cs="宋体"/>
          <w:spacing w:val="100"/>
          <w:w w:val="110"/>
          <w:kern w:val="0"/>
          <w:highlight w:val="none"/>
        </w:rPr>
        <w:t xml:space="preserve">                       </w:t>
      </w:r>
    </w:p>
    <w:p w14:paraId="3A21CD48">
      <w:pPr>
        <w:pStyle w:val="12"/>
        <w:spacing w:line="360" w:lineRule="auto"/>
        <w:ind w:firstLine="630" w:firstLineChars="300"/>
        <w:rPr>
          <w:rFonts w:hint="eastAsia" w:ascii="宋体" w:hAnsi="宋体" w:eastAsia="宋体" w:cs="宋体"/>
          <w:highlight w:val="none"/>
        </w:rPr>
      </w:pPr>
    </w:p>
    <w:p w14:paraId="741574CD">
      <w:pPr>
        <w:pStyle w:val="12"/>
        <w:spacing w:line="360" w:lineRule="auto"/>
        <w:rPr>
          <w:rFonts w:hint="eastAsia" w:ascii="宋体" w:hAnsi="宋体" w:eastAsia="宋体" w:cs="宋体"/>
          <w:highlight w:val="none"/>
        </w:rPr>
      </w:pPr>
    </w:p>
    <w:p w14:paraId="19BBAEBE">
      <w:pPr>
        <w:pStyle w:val="12"/>
        <w:spacing w:line="360" w:lineRule="auto"/>
        <w:rPr>
          <w:rFonts w:hint="eastAsia" w:ascii="宋体" w:hAnsi="宋体" w:eastAsia="宋体" w:cs="宋体"/>
          <w:highlight w:val="none"/>
        </w:rPr>
      </w:pPr>
    </w:p>
    <w:p w14:paraId="7DD6269C">
      <w:pPr>
        <w:pStyle w:val="12"/>
        <w:spacing w:line="360" w:lineRule="auto"/>
        <w:rPr>
          <w:rFonts w:hint="eastAsia" w:ascii="宋体" w:hAnsi="宋体" w:eastAsia="宋体" w:cs="宋体"/>
          <w:highlight w:val="none"/>
        </w:rPr>
      </w:pPr>
    </w:p>
    <w:p w14:paraId="3019F385">
      <w:pPr>
        <w:pStyle w:val="12"/>
        <w:spacing w:line="360" w:lineRule="auto"/>
        <w:ind w:firstLine="630" w:firstLineChars="300"/>
        <w:rPr>
          <w:rFonts w:hint="eastAsia" w:ascii="宋体" w:hAnsi="宋体" w:eastAsia="宋体" w:cs="宋体"/>
          <w:highlight w:val="none"/>
        </w:rPr>
      </w:pPr>
    </w:p>
    <w:p w14:paraId="41CF7476">
      <w:pPr>
        <w:pStyle w:val="12"/>
        <w:spacing w:line="360" w:lineRule="auto"/>
        <w:ind w:firstLine="1890" w:firstLineChars="900"/>
        <w:rPr>
          <w:rFonts w:hint="eastAsia" w:ascii="宋体" w:hAnsi="宋体" w:eastAsia="宋体" w:cs="宋体"/>
          <w:highlight w:val="none"/>
        </w:rPr>
      </w:pPr>
    </w:p>
    <w:p w14:paraId="1B2AA22A">
      <w:pPr>
        <w:pStyle w:val="12"/>
        <w:spacing w:line="360" w:lineRule="auto"/>
        <w:ind w:firstLine="1890" w:firstLineChars="900"/>
        <w:rPr>
          <w:rFonts w:hint="eastAsia" w:ascii="宋体" w:hAnsi="宋体" w:eastAsia="宋体" w:cs="宋体"/>
          <w:highlight w:val="none"/>
        </w:rPr>
      </w:pPr>
    </w:p>
    <w:p w14:paraId="5965935A">
      <w:pPr>
        <w:pStyle w:val="12"/>
        <w:spacing w:line="360" w:lineRule="auto"/>
        <w:ind w:firstLine="1890" w:firstLineChars="900"/>
        <w:rPr>
          <w:rFonts w:hint="eastAsia" w:ascii="宋体" w:hAnsi="宋体" w:eastAsia="宋体" w:cs="宋体"/>
          <w:highlight w:val="none"/>
        </w:rPr>
      </w:pPr>
    </w:p>
    <w:p w14:paraId="3984E185">
      <w:pPr>
        <w:pStyle w:val="12"/>
        <w:spacing w:line="360" w:lineRule="auto"/>
        <w:ind w:firstLine="2160" w:firstLineChars="900"/>
        <w:jc w:val="left"/>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采购人：</w:t>
      </w:r>
    </w:p>
    <w:p w14:paraId="7B372E84">
      <w:pPr>
        <w:pStyle w:val="12"/>
        <w:spacing w:line="360" w:lineRule="auto"/>
        <w:ind w:firstLine="2160" w:firstLineChars="900"/>
        <w:jc w:val="left"/>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供应商名称（公章）：</w:t>
      </w:r>
    </w:p>
    <w:p w14:paraId="71D5C5D0">
      <w:pPr>
        <w:autoSpaceDE w:val="0"/>
        <w:autoSpaceDN w:val="0"/>
        <w:spacing w:line="360" w:lineRule="auto"/>
        <w:ind w:firstLine="2160" w:firstLineChars="900"/>
        <w:jc w:val="left"/>
        <w:rPr>
          <w:rFonts w:hint="eastAsia" w:ascii="宋体" w:hAnsi="宋体" w:eastAsia="宋体" w:cs="宋体"/>
          <w:sz w:val="24"/>
          <w:highlight w:val="none"/>
          <w:u w:val="single"/>
        </w:rPr>
      </w:pPr>
      <w:r>
        <w:rPr>
          <w:rFonts w:hint="eastAsia" w:ascii="宋体" w:hAnsi="宋体" w:eastAsia="宋体" w:cs="宋体"/>
          <w:sz w:val="24"/>
          <w:highlight w:val="none"/>
        </w:rPr>
        <w:t>法定代表人或法定代表人授权代表(签字)：</w:t>
      </w:r>
    </w:p>
    <w:p w14:paraId="40F708FC">
      <w:pPr>
        <w:autoSpaceDE w:val="0"/>
        <w:autoSpaceDN w:val="0"/>
        <w:spacing w:line="360" w:lineRule="auto"/>
        <w:ind w:firstLine="2160" w:firstLineChars="900"/>
        <w:jc w:val="left"/>
        <w:rPr>
          <w:rFonts w:hint="eastAsia" w:ascii="宋体" w:hAnsi="宋体" w:eastAsia="宋体" w:cs="宋体"/>
          <w:sz w:val="24"/>
          <w:highlight w:val="none"/>
        </w:rPr>
      </w:pPr>
      <w:r>
        <w:rPr>
          <w:rFonts w:hint="eastAsia" w:ascii="宋体" w:hAnsi="宋体" w:eastAsia="宋体" w:cs="宋体"/>
          <w:sz w:val="24"/>
          <w:highlight w:val="none"/>
        </w:rPr>
        <w:t>日期：</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2B6EE8E0">
      <w:pPr>
        <w:jc w:val="left"/>
        <w:rPr>
          <w:rFonts w:hint="eastAsia" w:ascii="宋体" w:hAnsi="宋体" w:eastAsia="宋体" w:cs="宋体"/>
          <w:sz w:val="24"/>
          <w:highlight w:val="none"/>
        </w:rPr>
      </w:pPr>
    </w:p>
    <w:p w14:paraId="600A6139">
      <w:pPr>
        <w:widowControl/>
        <w:jc w:val="left"/>
        <w:rPr>
          <w:rFonts w:hint="eastAsia" w:ascii="宋体" w:hAnsi="宋体" w:eastAsia="宋体" w:cs="宋体"/>
          <w:sz w:val="24"/>
          <w:highlight w:val="none"/>
        </w:rPr>
      </w:pPr>
      <w:r>
        <w:rPr>
          <w:rFonts w:hint="eastAsia" w:ascii="宋体" w:hAnsi="宋体" w:eastAsia="宋体" w:cs="宋体"/>
          <w:sz w:val="24"/>
          <w:highlight w:val="none"/>
        </w:rPr>
        <w:br w:type="page"/>
      </w:r>
    </w:p>
    <w:p w14:paraId="5ABF4272">
      <w:pPr>
        <w:spacing w:line="600" w:lineRule="auto"/>
        <w:jc w:val="center"/>
        <w:rPr>
          <w:rFonts w:hint="eastAsia" w:ascii="宋体" w:hAnsi="宋体" w:eastAsia="宋体" w:cs="宋体"/>
          <w:sz w:val="36"/>
          <w:szCs w:val="36"/>
          <w:highlight w:val="none"/>
        </w:rPr>
      </w:pPr>
      <w:r>
        <w:rPr>
          <w:rFonts w:hint="eastAsia" w:ascii="宋体" w:hAnsi="宋体" w:eastAsia="宋体" w:cs="宋体"/>
          <w:sz w:val="36"/>
          <w:szCs w:val="36"/>
          <w:highlight w:val="none"/>
        </w:rPr>
        <w:t>目录</w:t>
      </w:r>
    </w:p>
    <w:p w14:paraId="28C50665">
      <w:pPr>
        <w:pStyle w:val="12"/>
        <w:spacing w:line="48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1.报价一览表（详见附件一格式）</w:t>
      </w:r>
    </w:p>
    <w:p w14:paraId="2A967811">
      <w:pPr>
        <w:pStyle w:val="12"/>
        <w:spacing w:line="48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2.评分导航表（详见附件二格式）</w:t>
      </w:r>
    </w:p>
    <w:p w14:paraId="71661F1A">
      <w:pPr>
        <w:pStyle w:val="12"/>
        <w:spacing w:line="48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3.符合性自查表（详见附件三格式）</w:t>
      </w:r>
    </w:p>
    <w:p w14:paraId="7FB5F06E">
      <w:pPr>
        <w:pStyle w:val="12"/>
        <w:spacing w:line="48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4.投标书（详见附件四格式）</w:t>
      </w:r>
    </w:p>
    <w:p w14:paraId="6C9C383F">
      <w:pPr>
        <w:pStyle w:val="12"/>
        <w:spacing w:line="48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5.</w:t>
      </w:r>
      <w:r>
        <w:rPr>
          <w:rFonts w:hint="eastAsia" w:ascii="宋体" w:hAnsi="宋体" w:eastAsia="宋体" w:cs="宋体"/>
          <w:color w:val="000000"/>
          <w:sz w:val="24"/>
          <w:szCs w:val="24"/>
          <w:highlight w:val="none"/>
        </w:rPr>
        <w:t>法定代表人身份证明书</w:t>
      </w:r>
      <w:r>
        <w:rPr>
          <w:rFonts w:hint="eastAsia" w:ascii="宋体" w:hAnsi="宋体" w:eastAsia="宋体" w:cs="宋体"/>
          <w:sz w:val="24"/>
          <w:szCs w:val="24"/>
          <w:highlight w:val="none"/>
        </w:rPr>
        <w:t>（详见附件五格式）</w:t>
      </w:r>
    </w:p>
    <w:p w14:paraId="5A3146A9">
      <w:pPr>
        <w:pStyle w:val="12"/>
        <w:spacing w:line="48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6.法定代表人授权书（详见附件六格式）</w:t>
      </w:r>
    </w:p>
    <w:p w14:paraId="23E53390">
      <w:pPr>
        <w:pStyle w:val="12"/>
        <w:spacing w:line="480" w:lineRule="auto"/>
        <w:jc w:val="left"/>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7.</w:t>
      </w:r>
      <w:bookmarkStart w:id="61" w:name="_Toc494665564"/>
      <w:bookmarkStart w:id="62" w:name="_Toc16720"/>
      <w:bookmarkStart w:id="63" w:name="_Toc494745328"/>
      <w:bookmarkStart w:id="64" w:name="_Toc494721111"/>
      <w:bookmarkStart w:id="65" w:name="_Toc236473304"/>
      <w:bookmarkStart w:id="66" w:name="_Toc494665011"/>
      <w:bookmarkStart w:id="67" w:name="_Toc494665961"/>
      <w:bookmarkStart w:id="68" w:name="_Toc494702281"/>
      <w:bookmarkStart w:id="69" w:name="_Toc238276248"/>
      <w:r>
        <w:rPr>
          <w:rFonts w:hint="eastAsia" w:ascii="宋体" w:hAnsi="宋体" w:eastAsia="宋体" w:cs="宋体"/>
          <w:color w:val="000000"/>
          <w:sz w:val="24"/>
          <w:szCs w:val="24"/>
          <w:highlight w:val="none"/>
        </w:rPr>
        <w:t>供应商的资格声明</w:t>
      </w:r>
      <w:bookmarkEnd w:id="61"/>
      <w:bookmarkEnd w:id="62"/>
      <w:bookmarkEnd w:id="63"/>
      <w:bookmarkEnd w:id="64"/>
      <w:bookmarkEnd w:id="65"/>
      <w:bookmarkEnd w:id="66"/>
      <w:bookmarkEnd w:id="67"/>
      <w:bookmarkEnd w:id="68"/>
      <w:bookmarkEnd w:id="69"/>
      <w:r>
        <w:rPr>
          <w:rFonts w:hint="eastAsia" w:ascii="宋体" w:hAnsi="宋体" w:eastAsia="宋体" w:cs="宋体"/>
          <w:sz w:val="24"/>
          <w:szCs w:val="24"/>
          <w:highlight w:val="none"/>
        </w:rPr>
        <w:t>（详见附件七格式）</w:t>
      </w:r>
    </w:p>
    <w:p w14:paraId="07F4B5A8">
      <w:pPr>
        <w:pStyle w:val="12"/>
        <w:spacing w:line="48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8.廉洁承诺书（详见附件八格式）</w:t>
      </w:r>
    </w:p>
    <w:p w14:paraId="5E3B14A3">
      <w:pPr>
        <w:pStyle w:val="12"/>
        <w:spacing w:line="48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9.供应商认为有必要提供的其他资料</w:t>
      </w:r>
    </w:p>
    <w:p w14:paraId="0B54ABC0">
      <w:pPr>
        <w:pStyle w:val="12"/>
        <w:spacing w:line="480" w:lineRule="auto"/>
        <w:jc w:val="left"/>
        <w:rPr>
          <w:rFonts w:hint="eastAsia" w:ascii="宋体" w:hAnsi="宋体" w:eastAsia="宋体" w:cs="宋体"/>
          <w:sz w:val="24"/>
          <w:szCs w:val="24"/>
          <w:highlight w:val="none"/>
        </w:rPr>
      </w:pPr>
    </w:p>
    <w:p w14:paraId="1BFEE3EE">
      <w:pPr>
        <w:pStyle w:val="21"/>
        <w:rPr>
          <w:rFonts w:hint="eastAsia" w:ascii="宋体" w:hAnsi="宋体" w:eastAsia="宋体" w:cs="宋体"/>
          <w:sz w:val="24"/>
          <w:highlight w:val="none"/>
        </w:rPr>
      </w:pPr>
    </w:p>
    <w:p w14:paraId="4103B70F">
      <w:pPr>
        <w:pStyle w:val="21"/>
        <w:rPr>
          <w:rFonts w:hint="eastAsia" w:ascii="宋体" w:hAnsi="宋体" w:eastAsia="宋体" w:cs="宋体"/>
          <w:sz w:val="24"/>
          <w:highlight w:val="none"/>
        </w:rPr>
      </w:pPr>
    </w:p>
    <w:p w14:paraId="3C1C7EAE">
      <w:pPr>
        <w:pStyle w:val="21"/>
        <w:rPr>
          <w:rFonts w:hint="eastAsia" w:ascii="宋体" w:hAnsi="宋体" w:eastAsia="宋体" w:cs="宋体"/>
          <w:sz w:val="24"/>
          <w:highlight w:val="none"/>
        </w:rPr>
      </w:pPr>
    </w:p>
    <w:p w14:paraId="64826DED">
      <w:pPr>
        <w:pStyle w:val="21"/>
        <w:rPr>
          <w:rFonts w:hint="eastAsia" w:ascii="宋体" w:hAnsi="宋体" w:eastAsia="宋体" w:cs="宋体"/>
          <w:sz w:val="24"/>
          <w:highlight w:val="none"/>
        </w:rPr>
      </w:pPr>
    </w:p>
    <w:bookmarkEnd w:id="60"/>
    <w:p w14:paraId="3B504124">
      <w:pPr>
        <w:rPr>
          <w:rFonts w:hint="eastAsia" w:ascii="宋体" w:hAnsi="宋体" w:eastAsia="宋体" w:cs="宋体"/>
          <w:sz w:val="24"/>
          <w:highlight w:val="none"/>
        </w:rPr>
      </w:pPr>
      <w:bookmarkStart w:id="70" w:name="_Toc524200263"/>
      <w:bookmarkStart w:id="71" w:name="_Toc524078644"/>
      <w:r>
        <w:rPr>
          <w:rFonts w:hint="eastAsia" w:ascii="宋体" w:hAnsi="宋体" w:eastAsia="宋体" w:cs="宋体"/>
          <w:sz w:val="24"/>
          <w:highlight w:val="none"/>
        </w:rPr>
        <w:br w:type="page"/>
      </w:r>
    </w:p>
    <w:p w14:paraId="7AF44CDB">
      <w:pPr>
        <w:spacing w:line="360" w:lineRule="auto"/>
        <w:rPr>
          <w:rFonts w:hint="eastAsia" w:ascii="宋体" w:hAnsi="宋体" w:eastAsia="宋体" w:cs="宋体"/>
          <w:sz w:val="24"/>
          <w:highlight w:val="none"/>
        </w:rPr>
      </w:pPr>
      <w:r>
        <w:rPr>
          <w:rFonts w:hint="eastAsia" w:ascii="宋体" w:hAnsi="宋体" w:eastAsia="宋体" w:cs="宋体"/>
          <w:sz w:val="24"/>
          <w:highlight w:val="none"/>
        </w:rPr>
        <w:t xml:space="preserve">附件一        </w:t>
      </w:r>
    </w:p>
    <w:p w14:paraId="3E9DE4D5">
      <w:pPr>
        <w:spacing w:line="360" w:lineRule="auto"/>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一、报价一览表</w:t>
      </w:r>
    </w:p>
    <w:p w14:paraId="0F93C91E">
      <w:pPr>
        <w:spacing w:line="360" w:lineRule="auto"/>
        <w:rPr>
          <w:rFonts w:hint="eastAsia" w:ascii="宋体" w:hAnsi="宋体" w:eastAsia="宋体" w:cs="宋体"/>
          <w:color w:val="000000"/>
          <w:szCs w:val="21"/>
          <w:highlight w:val="none"/>
        </w:rPr>
      </w:pPr>
    </w:p>
    <w:p w14:paraId="4DD2CD28">
      <w:pPr>
        <w:spacing w:line="360" w:lineRule="auto"/>
        <w:ind w:firstLine="249" w:firstLineChars="104"/>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项目名称：</w:t>
      </w:r>
      <w:r>
        <w:rPr>
          <w:rFonts w:hint="eastAsia" w:ascii="宋体" w:hAnsi="宋体" w:eastAsia="宋体" w:cs="宋体"/>
          <w:color w:val="000000"/>
          <w:sz w:val="24"/>
          <w:highlight w:val="none"/>
          <w:u w:val="single"/>
        </w:rPr>
        <w:t xml:space="preserve">                              </w:t>
      </w:r>
    </w:p>
    <w:p w14:paraId="73D55B8E">
      <w:pPr>
        <w:spacing w:line="360" w:lineRule="auto"/>
        <w:ind w:firstLine="249" w:firstLineChars="104"/>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项目编号：</w:t>
      </w:r>
      <w:r>
        <w:rPr>
          <w:rFonts w:hint="eastAsia" w:ascii="宋体" w:hAnsi="宋体" w:eastAsia="宋体" w:cs="宋体"/>
          <w:color w:val="000000"/>
          <w:sz w:val="24"/>
          <w:highlight w:val="none"/>
          <w:u w:val="single"/>
        </w:rPr>
        <w:t xml:space="preserve">                              </w:t>
      </w:r>
    </w:p>
    <w:tbl>
      <w:tblPr>
        <w:tblStyle w:val="22"/>
        <w:tblpPr w:leftFromText="180" w:rightFromText="180" w:vertAnchor="text" w:horzAnchor="page" w:tblpX="1556" w:tblpY="62"/>
        <w:tblOverlap w:val="never"/>
        <w:tblW w:w="9259"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519"/>
        <w:gridCol w:w="6740"/>
      </w:tblGrid>
      <w:tr w14:paraId="3F2319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53" w:hRule="atLeast"/>
        </w:trPr>
        <w:tc>
          <w:tcPr>
            <w:tcW w:w="2519" w:type="dxa"/>
            <w:tcBorders>
              <w:top w:val="single" w:color="auto" w:sz="4" w:space="0"/>
              <w:left w:val="single" w:color="auto" w:sz="4" w:space="0"/>
              <w:bottom w:val="single" w:color="auto" w:sz="4" w:space="0"/>
              <w:right w:val="single" w:color="auto" w:sz="4" w:space="0"/>
            </w:tcBorders>
            <w:vAlign w:val="center"/>
          </w:tcPr>
          <w:p w14:paraId="7AFC6CBA">
            <w:pPr>
              <w:spacing w:line="360" w:lineRule="auto"/>
              <w:jc w:val="center"/>
              <w:rPr>
                <w:rFonts w:hint="eastAsia" w:ascii="宋体" w:hAnsi="宋体" w:eastAsia="宋体" w:cs="宋体"/>
                <w:color w:val="000000"/>
                <w:sz w:val="24"/>
                <w:highlight w:val="none"/>
              </w:rPr>
            </w:pPr>
            <w:bookmarkStart w:id="72" w:name="_Toc268600484"/>
            <w:r>
              <w:rPr>
                <w:rFonts w:hint="eastAsia" w:ascii="宋体" w:hAnsi="宋体" w:eastAsia="宋体" w:cs="宋体"/>
                <w:color w:val="000000"/>
                <w:sz w:val="24"/>
                <w:highlight w:val="none"/>
              </w:rPr>
              <w:t>供应商名称</w:t>
            </w:r>
          </w:p>
          <w:bookmarkEnd w:id="72"/>
        </w:tc>
        <w:tc>
          <w:tcPr>
            <w:tcW w:w="6740" w:type="dxa"/>
            <w:tcBorders>
              <w:top w:val="single" w:color="auto" w:sz="4" w:space="0"/>
              <w:left w:val="single" w:color="auto" w:sz="4" w:space="0"/>
              <w:bottom w:val="single" w:color="auto" w:sz="4" w:space="0"/>
              <w:right w:val="single" w:color="auto" w:sz="4" w:space="0"/>
            </w:tcBorders>
            <w:vAlign w:val="center"/>
          </w:tcPr>
          <w:p w14:paraId="7B5254D0">
            <w:pPr>
              <w:spacing w:line="360" w:lineRule="auto"/>
              <w:jc w:val="center"/>
              <w:rPr>
                <w:rFonts w:hint="eastAsia" w:ascii="宋体" w:hAnsi="宋体" w:eastAsia="宋体" w:cs="宋体"/>
                <w:color w:val="000000"/>
                <w:sz w:val="24"/>
                <w:highlight w:val="none"/>
              </w:rPr>
            </w:pPr>
          </w:p>
        </w:tc>
      </w:tr>
      <w:tr w14:paraId="3C274D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53" w:hRule="atLeast"/>
        </w:trPr>
        <w:tc>
          <w:tcPr>
            <w:tcW w:w="2519" w:type="dxa"/>
            <w:tcBorders>
              <w:top w:val="single" w:color="auto" w:sz="4" w:space="0"/>
              <w:left w:val="single" w:color="auto" w:sz="4" w:space="0"/>
              <w:bottom w:val="single" w:color="auto" w:sz="4" w:space="0"/>
              <w:right w:val="single" w:color="auto" w:sz="4" w:space="0"/>
            </w:tcBorders>
            <w:vAlign w:val="center"/>
          </w:tcPr>
          <w:p w14:paraId="579EFA91">
            <w:pPr>
              <w:spacing w:line="360" w:lineRule="auto"/>
              <w:jc w:val="center"/>
              <w:rPr>
                <w:rFonts w:hint="eastAsia" w:ascii="宋体" w:hAnsi="宋体" w:eastAsia="宋体" w:cs="宋体"/>
                <w:color w:val="000000"/>
                <w:sz w:val="24"/>
                <w:highlight w:val="none"/>
              </w:rPr>
            </w:pPr>
            <w:bookmarkStart w:id="73" w:name="_Toc268600488"/>
            <w:r>
              <w:rPr>
                <w:rFonts w:hint="eastAsia" w:ascii="宋体" w:hAnsi="宋体" w:eastAsia="宋体" w:cs="宋体"/>
                <w:color w:val="000000"/>
                <w:sz w:val="24"/>
                <w:highlight w:val="none"/>
              </w:rPr>
              <w:t>项目负责人</w:t>
            </w:r>
          </w:p>
        </w:tc>
        <w:tc>
          <w:tcPr>
            <w:tcW w:w="6740" w:type="dxa"/>
            <w:tcBorders>
              <w:top w:val="single" w:color="auto" w:sz="4" w:space="0"/>
              <w:left w:val="single" w:color="auto" w:sz="4" w:space="0"/>
              <w:bottom w:val="single" w:color="auto" w:sz="4" w:space="0"/>
              <w:right w:val="single" w:color="auto" w:sz="4" w:space="0"/>
            </w:tcBorders>
            <w:vAlign w:val="center"/>
          </w:tcPr>
          <w:p w14:paraId="028958F6">
            <w:pPr>
              <w:spacing w:line="360" w:lineRule="auto"/>
              <w:jc w:val="center"/>
              <w:rPr>
                <w:rFonts w:hint="eastAsia" w:ascii="宋体" w:hAnsi="宋体" w:eastAsia="宋体" w:cs="宋体"/>
                <w:color w:val="000000"/>
                <w:sz w:val="24"/>
                <w:highlight w:val="none"/>
              </w:rPr>
            </w:pPr>
          </w:p>
        </w:tc>
      </w:tr>
      <w:tr w14:paraId="6DD771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159" w:hRule="atLeast"/>
        </w:trPr>
        <w:tc>
          <w:tcPr>
            <w:tcW w:w="2519" w:type="dxa"/>
            <w:tcBorders>
              <w:top w:val="single" w:color="auto" w:sz="4" w:space="0"/>
              <w:left w:val="single" w:color="auto" w:sz="4" w:space="0"/>
              <w:right w:val="single" w:color="auto" w:sz="4" w:space="0"/>
            </w:tcBorders>
            <w:vAlign w:val="center"/>
          </w:tcPr>
          <w:p w14:paraId="5FF26B96">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服务期限</w:t>
            </w:r>
          </w:p>
          <w:bookmarkEnd w:id="73"/>
        </w:tc>
        <w:tc>
          <w:tcPr>
            <w:tcW w:w="6740" w:type="dxa"/>
            <w:tcBorders>
              <w:top w:val="single" w:color="auto" w:sz="4" w:space="0"/>
              <w:left w:val="single" w:color="auto" w:sz="4" w:space="0"/>
              <w:bottom w:val="single" w:color="auto" w:sz="4" w:space="0"/>
              <w:right w:val="single" w:color="auto" w:sz="4" w:space="0"/>
            </w:tcBorders>
            <w:vAlign w:val="center"/>
          </w:tcPr>
          <w:p w14:paraId="2E96D2C9">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年</w:t>
            </w:r>
          </w:p>
        </w:tc>
      </w:tr>
      <w:tr w14:paraId="58D217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159" w:hRule="atLeast"/>
        </w:trPr>
        <w:tc>
          <w:tcPr>
            <w:tcW w:w="2519" w:type="dxa"/>
            <w:tcBorders>
              <w:top w:val="single" w:color="auto" w:sz="4" w:space="0"/>
              <w:left w:val="single" w:color="auto" w:sz="4" w:space="0"/>
              <w:right w:val="single" w:color="auto" w:sz="4" w:space="0"/>
            </w:tcBorders>
            <w:vAlign w:val="center"/>
          </w:tcPr>
          <w:p w14:paraId="2CCAF349">
            <w:pPr>
              <w:spacing w:line="360" w:lineRule="auto"/>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报价（代理服务费）</w:t>
            </w:r>
          </w:p>
        </w:tc>
        <w:tc>
          <w:tcPr>
            <w:tcW w:w="6740" w:type="dxa"/>
            <w:tcBorders>
              <w:top w:val="single" w:color="auto" w:sz="4" w:space="0"/>
              <w:left w:val="single" w:color="auto" w:sz="4" w:space="0"/>
              <w:bottom w:val="single" w:color="auto" w:sz="4" w:space="0"/>
              <w:right w:val="single" w:color="auto" w:sz="4" w:space="0"/>
            </w:tcBorders>
            <w:vAlign w:val="center"/>
          </w:tcPr>
          <w:p w14:paraId="298046C4">
            <w:pPr>
              <w:spacing w:line="360" w:lineRule="auto"/>
              <w:jc w:val="left"/>
              <w:rPr>
                <w:rFonts w:hint="eastAsia" w:ascii="宋体" w:hAnsi="宋体" w:eastAsia="宋体" w:cs="宋体"/>
                <w:sz w:val="24"/>
                <w:highlight w:val="none"/>
                <w:u w:val="single"/>
              </w:rPr>
            </w:pPr>
            <w:bookmarkStart w:id="74" w:name="_Toc121392772"/>
            <w:bookmarkStart w:id="75" w:name="_Toc22975"/>
            <w:r>
              <w:rPr>
                <w:rFonts w:hint="eastAsia" w:ascii="宋体" w:hAnsi="宋体" w:eastAsia="宋体" w:cs="宋体"/>
                <w:color w:val="000000"/>
                <w:sz w:val="24"/>
                <w:highlight w:val="none"/>
              </w:rPr>
              <w:t>参照原国家计委关于印发《招标代理服务收费管理暂行办法》（计价格[2002]1980号）的规定，按照标准收费的</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%取费，向中标/成交供应商收取代理费。</w:t>
            </w:r>
            <w:bookmarkEnd w:id="74"/>
            <w:bookmarkEnd w:id="75"/>
          </w:p>
        </w:tc>
      </w:tr>
      <w:tr w14:paraId="36A65F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191" w:hRule="atLeast"/>
        </w:trPr>
        <w:tc>
          <w:tcPr>
            <w:tcW w:w="2519" w:type="dxa"/>
            <w:tcBorders>
              <w:top w:val="single" w:color="auto" w:sz="4" w:space="0"/>
              <w:left w:val="single" w:color="auto" w:sz="4" w:space="0"/>
              <w:bottom w:val="single" w:color="auto" w:sz="4" w:space="0"/>
              <w:right w:val="single" w:color="auto" w:sz="4" w:space="0"/>
            </w:tcBorders>
            <w:vAlign w:val="center"/>
          </w:tcPr>
          <w:p w14:paraId="695D97A8">
            <w:pPr>
              <w:spacing w:line="360" w:lineRule="auto"/>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备注</w:t>
            </w:r>
          </w:p>
        </w:tc>
        <w:tc>
          <w:tcPr>
            <w:tcW w:w="6740" w:type="dxa"/>
            <w:tcBorders>
              <w:top w:val="single" w:color="auto" w:sz="4" w:space="0"/>
              <w:left w:val="single" w:color="auto" w:sz="4" w:space="0"/>
              <w:bottom w:val="single" w:color="auto" w:sz="4" w:space="0"/>
              <w:right w:val="single" w:color="auto" w:sz="4" w:space="0"/>
            </w:tcBorders>
            <w:vAlign w:val="center"/>
          </w:tcPr>
          <w:p w14:paraId="12640830">
            <w:pPr>
              <w:spacing w:line="360" w:lineRule="auto"/>
              <w:rPr>
                <w:rFonts w:hint="eastAsia" w:ascii="宋体" w:hAnsi="宋体" w:eastAsia="宋体" w:cs="宋体"/>
                <w:color w:val="000000"/>
                <w:sz w:val="24"/>
                <w:highlight w:val="none"/>
              </w:rPr>
            </w:pPr>
          </w:p>
        </w:tc>
      </w:tr>
    </w:tbl>
    <w:p w14:paraId="3B9BCD77">
      <w:pPr>
        <w:spacing w:line="360" w:lineRule="auto"/>
        <w:ind w:firstLine="480" w:firstLineChars="200"/>
        <w:rPr>
          <w:rFonts w:hint="eastAsia" w:ascii="宋体" w:hAnsi="宋体" w:eastAsia="宋体" w:cs="宋体"/>
          <w:color w:val="000000"/>
          <w:sz w:val="24"/>
          <w:highlight w:val="none"/>
        </w:rPr>
      </w:pPr>
    </w:p>
    <w:p w14:paraId="340CE696">
      <w:pPr>
        <w:spacing w:line="480" w:lineRule="auto"/>
        <w:ind w:firstLine="3840" w:firstLineChars="16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名称：</w:t>
      </w:r>
      <w:r>
        <w:rPr>
          <w:rFonts w:hint="eastAsia" w:ascii="宋体" w:hAnsi="宋体" w:eastAsia="宋体" w:cs="宋体"/>
          <w:color w:val="000000"/>
          <w:sz w:val="24"/>
          <w:highlight w:val="none"/>
          <w:u w:val="single"/>
        </w:rPr>
        <w:t xml:space="preserve">   （公章）    </w:t>
      </w:r>
    </w:p>
    <w:p w14:paraId="4B9D3797">
      <w:pPr>
        <w:spacing w:line="480" w:lineRule="auto"/>
        <w:ind w:firstLine="3840" w:firstLineChars="16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法定代表人或法定代表人授权代表：</w:t>
      </w:r>
      <w:r>
        <w:rPr>
          <w:rFonts w:hint="eastAsia" w:ascii="宋体" w:hAnsi="宋体" w:eastAsia="宋体" w:cs="宋体"/>
          <w:color w:val="000000"/>
          <w:sz w:val="24"/>
          <w:highlight w:val="none"/>
          <w:u w:val="single"/>
        </w:rPr>
        <w:t xml:space="preserve">（签字）           </w:t>
      </w:r>
    </w:p>
    <w:p w14:paraId="5A34ACAA">
      <w:pPr>
        <w:pStyle w:val="15"/>
        <w:spacing w:line="480" w:lineRule="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 xml:space="preserve">                                日期：    年    月   日</w:t>
      </w:r>
    </w:p>
    <w:p w14:paraId="15B59295">
      <w:pPr>
        <w:spacing w:line="360" w:lineRule="auto"/>
        <w:ind w:firstLine="482" w:firstLineChars="200"/>
        <w:jc w:val="left"/>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注：1.本表所有填写内容必须与其他文件相一致，如有出入，将直接影响评审小组的评议，所有后果自负。</w:t>
      </w:r>
    </w:p>
    <w:p w14:paraId="4E898670">
      <w:pPr>
        <w:spacing w:line="360" w:lineRule="auto"/>
        <w:ind w:firstLine="482" w:firstLineChars="200"/>
        <w:jc w:val="left"/>
        <w:rPr>
          <w:rFonts w:hint="eastAsia" w:ascii="宋体" w:hAnsi="宋体" w:eastAsia="宋体" w:cs="宋体"/>
          <w:b/>
          <w:bCs/>
          <w:sz w:val="24"/>
          <w:highlight w:val="none"/>
        </w:rPr>
      </w:pPr>
      <w:r>
        <w:rPr>
          <w:rFonts w:hint="eastAsia" w:ascii="宋体" w:hAnsi="宋体" w:eastAsia="宋体" w:cs="宋体"/>
          <w:b/>
          <w:bCs/>
          <w:color w:val="000000"/>
          <w:sz w:val="24"/>
          <w:highlight w:val="none"/>
        </w:rPr>
        <w:t>2.本表除保留在响应文件中外，另按“磋商须知”的规定单独密封提交。</w:t>
      </w:r>
    </w:p>
    <w:p w14:paraId="09F654F1">
      <w:pPr>
        <w:spacing w:line="360" w:lineRule="auto"/>
        <w:ind w:firstLine="482" w:firstLineChars="200"/>
        <w:rPr>
          <w:rFonts w:hint="eastAsia" w:ascii="宋体" w:hAnsi="宋体" w:eastAsia="宋体" w:cs="宋体"/>
          <w:b/>
          <w:color w:val="000000"/>
          <w:sz w:val="24"/>
          <w:highlight w:val="none"/>
        </w:rPr>
      </w:pPr>
    </w:p>
    <w:p w14:paraId="0499C94D">
      <w:pPr>
        <w:rPr>
          <w:rFonts w:hint="eastAsia" w:ascii="宋体" w:hAnsi="宋体" w:eastAsia="宋体" w:cs="宋体"/>
          <w:highlight w:val="none"/>
        </w:rPr>
      </w:pPr>
    </w:p>
    <w:p w14:paraId="46BC3B61">
      <w:pPr>
        <w:rPr>
          <w:rFonts w:hint="eastAsia" w:ascii="宋体" w:hAnsi="宋体" w:eastAsia="宋体" w:cs="宋体"/>
          <w:highlight w:val="none"/>
        </w:rPr>
      </w:pPr>
    </w:p>
    <w:p w14:paraId="7ADC728F">
      <w:pPr>
        <w:rPr>
          <w:rFonts w:hint="eastAsia" w:ascii="宋体" w:hAnsi="宋体" w:eastAsia="宋体" w:cs="宋体"/>
          <w:highlight w:val="none"/>
        </w:rPr>
      </w:pPr>
    </w:p>
    <w:p w14:paraId="1669347F">
      <w:pPr>
        <w:rPr>
          <w:rFonts w:hint="eastAsia" w:ascii="宋体" w:hAnsi="宋体" w:eastAsia="宋体" w:cs="宋体"/>
          <w:highlight w:val="none"/>
        </w:rPr>
      </w:pPr>
      <w:r>
        <w:rPr>
          <w:rFonts w:hint="eastAsia" w:ascii="宋体" w:hAnsi="宋体" w:eastAsia="宋体" w:cs="宋体"/>
          <w:highlight w:val="none"/>
        </w:rPr>
        <w:t xml:space="preserve">附件二   </w:t>
      </w:r>
    </w:p>
    <w:p w14:paraId="70EC4FF4">
      <w:pPr>
        <w:snapToGrid w:val="0"/>
        <w:spacing w:before="0" w:after="0" w:line="240" w:lineRule="auto"/>
        <w:jc w:val="center"/>
        <w:outlineLvl w:val="9"/>
        <w:rPr>
          <w:rFonts w:hint="eastAsia" w:ascii="宋体" w:hAnsi="宋体" w:eastAsia="宋体" w:cs="宋体"/>
          <w:highlight w:val="none"/>
        </w:rPr>
      </w:pPr>
      <w:r>
        <w:rPr>
          <w:rFonts w:hint="eastAsia" w:ascii="宋体" w:hAnsi="宋体" w:eastAsia="宋体" w:cs="宋体"/>
          <w:b w:val="0"/>
          <w:bCs w:val="0"/>
          <w:sz w:val="24"/>
          <w:szCs w:val="24"/>
          <w:highlight w:val="none"/>
        </w:rPr>
        <w:t>二、评分导航表</w:t>
      </w:r>
    </w:p>
    <w:tbl>
      <w:tblPr>
        <w:tblStyle w:val="22"/>
        <w:tblpPr w:leftFromText="180" w:rightFromText="180" w:vertAnchor="page" w:horzAnchor="page" w:tblpX="1390" w:tblpY="2235"/>
        <w:tblW w:w="97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7"/>
        <w:gridCol w:w="1459"/>
        <w:gridCol w:w="5524"/>
        <w:gridCol w:w="1545"/>
      </w:tblGrid>
      <w:tr w14:paraId="5F959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1237" w:type="dxa"/>
            <w:vAlign w:val="center"/>
          </w:tcPr>
          <w:p w14:paraId="5F34D890">
            <w:pPr>
              <w:jc w:val="center"/>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评审项目</w:t>
            </w:r>
          </w:p>
        </w:tc>
        <w:tc>
          <w:tcPr>
            <w:tcW w:w="1459" w:type="dxa"/>
            <w:vAlign w:val="center"/>
          </w:tcPr>
          <w:p w14:paraId="2F17C6CD">
            <w:pPr>
              <w:jc w:val="center"/>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评审内容</w:t>
            </w:r>
          </w:p>
        </w:tc>
        <w:tc>
          <w:tcPr>
            <w:tcW w:w="5524" w:type="dxa"/>
            <w:vAlign w:val="center"/>
          </w:tcPr>
          <w:p w14:paraId="0CC16869">
            <w:pPr>
              <w:ind w:left="-107" w:leftChars="-51" w:firstLine="120" w:firstLineChars="50"/>
              <w:jc w:val="center"/>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细则</w:t>
            </w:r>
          </w:p>
        </w:tc>
        <w:tc>
          <w:tcPr>
            <w:tcW w:w="1545" w:type="dxa"/>
            <w:vAlign w:val="center"/>
          </w:tcPr>
          <w:p w14:paraId="530C6564">
            <w:pPr>
              <w:ind w:left="-107" w:leftChars="-95" w:right="-143" w:rightChars="-68" w:hanging="92" w:hangingChars="38"/>
              <w:jc w:val="center"/>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佐证材料</w:t>
            </w:r>
          </w:p>
          <w:p w14:paraId="4A0AF56E">
            <w:pPr>
              <w:ind w:left="-107" w:leftChars="-95" w:right="-143" w:rightChars="-68" w:hanging="92" w:hangingChars="38"/>
              <w:jc w:val="center"/>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对应页码</w:t>
            </w:r>
          </w:p>
        </w:tc>
      </w:tr>
      <w:tr w14:paraId="506E0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trPr>
        <w:tc>
          <w:tcPr>
            <w:tcW w:w="1237" w:type="dxa"/>
            <w:vAlign w:val="center"/>
          </w:tcPr>
          <w:p w14:paraId="38D56D43">
            <w:pPr>
              <w:rPr>
                <w:rFonts w:hint="eastAsia" w:ascii="宋体" w:hAnsi="宋体" w:eastAsia="宋体" w:cs="宋体"/>
                <w:color w:val="000000" w:themeColor="text1"/>
                <w:sz w:val="24"/>
                <w:highlight w:val="none"/>
                <w14:textFill>
                  <w14:solidFill>
                    <w14:schemeClr w14:val="tx1"/>
                  </w14:solidFill>
                </w14:textFill>
              </w:rPr>
            </w:pPr>
          </w:p>
        </w:tc>
        <w:tc>
          <w:tcPr>
            <w:tcW w:w="1459" w:type="dxa"/>
            <w:vAlign w:val="center"/>
          </w:tcPr>
          <w:p w14:paraId="2CD97B3A">
            <w:pPr>
              <w:jc w:val="center"/>
              <w:rPr>
                <w:rFonts w:hint="eastAsia" w:ascii="宋体" w:hAnsi="宋体" w:eastAsia="宋体" w:cs="宋体"/>
                <w:color w:val="000000" w:themeColor="text1"/>
                <w:sz w:val="24"/>
                <w:highlight w:val="none"/>
                <w14:textFill>
                  <w14:solidFill>
                    <w14:schemeClr w14:val="tx1"/>
                  </w14:solidFill>
                </w14:textFill>
              </w:rPr>
            </w:pPr>
          </w:p>
        </w:tc>
        <w:tc>
          <w:tcPr>
            <w:tcW w:w="5524" w:type="dxa"/>
            <w:vAlign w:val="center"/>
          </w:tcPr>
          <w:p w14:paraId="7D3A7E58">
            <w:pPr>
              <w:rPr>
                <w:rFonts w:hint="eastAsia" w:ascii="宋体" w:hAnsi="宋体" w:eastAsia="宋体" w:cs="宋体"/>
                <w:color w:val="000000" w:themeColor="text1"/>
                <w:sz w:val="24"/>
                <w:highlight w:val="none"/>
                <w14:textFill>
                  <w14:solidFill>
                    <w14:schemeClr w14:val="tx1"/>
                  </w14:solidFill>
                </w14:textFill>
              </w:rPr>
            </w:pPr>
          </w:p>
        </w:tc>
        <w:tc>
          <w:tcPr>
            <w:tcW w:w="1545" w:type="dxa"/>
            <w:vAlign w:val="center"/>
          </w:tcPr>
          <w:p w14:paraId="35FD276B">
            <w:pPr>
              <w:rPr>
                <w:rFonts w:hint="eastAsia" w:ascii="宋体" w:hAnsi="宋体" w:eastAsia="宋体" w:cs="宋体"/>
                <w:color w:val="000000" w:themeColor="text1"/>
                <w:sz w:val="24"/>
                <w:highlight w:val="none"/>
                <w14:textFill>
                  <w14:solidFill>
                    <w14:schemeClr w14:val="tx1"/>
                  </w14:solidFill>
                </w14:textFill>
              </w:rPr>
            </w:pPr>
          </w:p>
        </w:tc>
      </w:tr>
      <w:tr w14:paraId="4F8EB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1237" w:type="dxa"/>
            <w:vMerge w:val="restart"/>
            <w:vAlign w:val="center"/>
          </w:tcPr>
          <w:p w14:paraId="49542A18">
            <w:pPr>
              <w:jc w:val="center"/>
              <w:rPr>
                <w:rFonts w:hint="eastAsia" w:ascii="宋体" w:hAnsi="宋体" w:eastAsia="宋体" w:cs="宋体"/>
                <w:color w:val="000000" w:themeColor="text1"/>
                <w:sz w:val="24"/>
                <w:highlight w:val="none"/>
                <w14:textFill>
                  <w14:solidFill>
                    <w14:schemeClr w14:val="tx1"/>
                  </w14:solidFill>
                </w14:textFill>
              </w:rPr>
            </w:pPr>
          </w:p>
        </w:tc>
        <w:tc>
          <w:tcPr>
            <w:tcW w:w="1459" w:type="dxa"/>
            <w:vAlign w:val="center"/>
          </w:tcPr>
          <w:p w14:paraId="28AADBF0">
            <w:pPr>
              <w:jc w:val="center"/>
              <w:rPr>
                <w:rFonts w:hint="eastAsia" w:ascii="宋体" w:hAnsi="宋体" w:eastAsia="宋体" w:cs="宋体"/>
                <w:color w:val="000000" w:themeColor="text1"/>
                <w:sz w:val="24"/>
                <w:highlight w:val="none"/>
                <w14:textFill>
                  <w14:solidFill>
                    <w14:schemeClr w14:val="tx1"/>
                  </w14:solidFill>
                </w14:textFill>
              </w:rPr>
            </w:pPr>
          </w:p>
        </w:tc>
        <w:tc>
          <w:tcPr>
            <w:tcW w:w="5524" w:type="dxa"/>
            <w:vAlign w:val="center"/>
          </w:tcPr>
          <w:p w14:paraId="2C35AC09">
            <w:pPr>
              <w:adjustRightInd w:val="0"/>
              <w:snapToGrid w:val="0"/>
              <w:jc w:val="left"/>
              <w:rPr>
                <w:rFonts w:hint="eastAsia" w:ascii="宋体" w:hAnsi="宋体" w:eastAsia="宋体" w:cs="宋体"/>
                <w:color w:val="000000" w:themeColor="text1"/>
                <w:sz w:val="24"/>
                <w:highlight w:val="none"/>
                <w14:textFill>
                  <w14:solidFill>
                    <w14:schemeClr w14:val="tx1"/>
                  </w14:solidFill>
                </w14:textFill>
              </w:rPr>
            </w:pPr>
          </w:p>
        </w:tc>
        <w:tc>
          <w:tcPr>
            <w:tcW w:w="1545" w:type="dxa"/>
            <w:vAlign w:val="center"/>
          </w:tcPr>
          <w:p w14:paraId="66127C77">
            <w:pPr>
              <w:adjustRightInd w:val="0"/>
              <w:snapToGrid w:val="0"/>
              <w:jc w:val="left"/>
              <w:rPr>
                <w:rFonts w:hint="eastAsia" w:ascii="宋体" w:hAnsi="宋体" w:eastAsia="宋体" w:cs="宋体"/>
                <w:color w:val="000000" w:themeColor="text1"/>
                <w:sz w:val="24"/>
                <w:highlight w:val="none"/>
                <w14:textFill>
                  <w14:solidFill>
                    <w14:schemeClr w14:val="tx1"/>
                  </w14:solidFill>
                </w14:textFill>
              </w:rPr>
            </w:pPr>
          </w:p>
        </w:tc>
      </w:tr>
      <w:tr w14:paraId="5B567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1" w:hRule="atLeast"/>
        </w:trPr>
        <w:tc>
          <w:tcPr>
            <w:tcW w:w="1237" w:type="dxa"/>
            <w:vMerge w:val="continue"/>
            <w:vAlign w:val="center"/>
          </w:tcPr>
          <w:p w14:paraId="028896F6">
            <w:pPr>
              <w:jc w:val="center"/>
              <w:rPr>
                <w:rFonts w:hint="eastAsia" w:ascii="宋体" w:hAnsi="宋体" w:eastAsia="宋体" w:cs="宋体"/>
                <w:color w:val="000000" w:themeColor="text1"/>
                <w:sz w:val="24"/>
                <w:highlight w:val="none"/>
                <w14:textFill>
                  <w14:solidFill>
                    <w14:schemeClr w14:val="tx1"/>
                  </w14:solidFill>
                </w14:textFill>
              </w:rPr>
            </w:pPr>
          </w:p>
        </w:tc>
        <w:tc>
          <w:tcPr>
            <w:tcW w:w="1459" w:type="dxa"/>
            <w:vAlign w:val="center"/>
          </w:tcPr>
          <w:p w14:paraId="599B406C">
            <w:pPr>
              <w:jc w:val="center"/>
              <w:rPr>
                <w:rFonts w:hint="eastAsia" w:ascii="宋体" w:hAnsi="宋体" w:eastAsia="宋体" w:cs="宋体"/>
                <w:color w:val="000000" w:themeColor="text1"/>
                <w:sz w:val="24"/>
                <w:highlight w:val="none"/>
                <w:lang w:val="zh-CN"/>
                <w14:textFill>
                  <w14:solidFill>
                    <w14:schemeClr w14:val="tx1"/>
                  </w14:solidFill>
                </w14:textFill>
              </w:rPr>
            </w:pPr>
          </w:p>
        </w:tc>
        <w:tc>
          <w:tcPr>
            <w:tcW w:w="5524" w:type="dxa"/>
            <w:vAlign w:val="center"/>
          </w:tcPr>
          <w:p w14:paraId="3B3BB11A">
            <w:pPr>
              <w:adjustRightInd w:val="0"/>
              <w:snapToGrid w:val="0"/>
              <w:rPr>
                <w:rFonts w:hint="eastAsia" w:ascii="宋体" w:hAnsi="宋体" w:eastAsia="宋体" w:cs="宋体"/>
                <w:color w:val="000000" w:themeColor="text1"/>
                <w:sz w:val="24"/>
                <w:highlight w:val="none"/>
                <w14:textFill>
                  <w14:solidFill>
                    <w14:schemeClr w14:val="tx1"/>
                  </w14:solidFill>
                </w14:textFill>
              </w:rPr>
            </w:pPr>
          </w:p>
        </w:tc>
        <w:tc>
          <w:tcPr>
            <w:tcW w:w="1545" w:type="dxa"/>
            <w:vAlign w:val="center"/>
          </w:tcPr>
          <w:p w14:paraId="33203640">
            <w:pPr>
              <w:adjustRightInd w:val="0"/>
              <w:snapToGrid w:val="0"/>
              <w:rPr>
                <w:rFonts w:hint="eastAsia" w:ascii="宋体" w:hAnsi="宋体" w:eastAsia="宋体" w:cs="宋体"/>
                <w:color w:val="000000" w:themeColor="text1"/>
                <w:sz w:val="24"/>
                <w:highlight w:val="none"/>
                <w14:textFill>
                  <w14:solidFill>
                    <w14:schemeClr w14:val="tx1"/>
                  </w14:solidFill>
                </w14:textFill>
              </w:rPr>
            </w:pPr>
          </w:p>
        </w:tc>
      </w:tr>
      <w:tr w14:paraId="4E0AC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9" w:hRule="atLeast"/>
        </w:trPr>
        <w:tc>
          <w:tcPr>
            <w:tcW w:w="1237" w:type="dxa"/>
            <w:vMerge w:val="continue"/>
            <w:vAlign w:val="center"/>
          </w:tcPr>
          <w:p w14:paraId="25BF52B1">
            <w:pPr>
              <w:jc w:val="center"/>
              <w:rPr>
                <w:rFonts w:hint="eastAsia" w:ascii="宋体" w:hAnsi="宋体" w:eastAsia="宋体" w:cs="宋体"/>
                <w:color w:val="000000" w:themeColor="text1"/>
                <w:sz w:val="24"/>
                <w:highlight w:val="none"/>
                <w14:textFill>
                  <w14:solidFill>
                    <w14:schemeClr w14:val="tx1"/>
                  </w14:solidFill>
                </w14:textFill>
              </w:rPr>
            </w:pPr>
          </w:p>
        </w:tc>
        <w:tc>
          <w:tcPr>
            <w:tcW w:w="1459" w:type="dxa"/>
            <w:vAlign w:val="center"/>
          </w:tcPr>
          <w:p w14:paraId="0DD824B5">
            <w:pPr>
              <w:jc w:val="center"/>
              <w:rPr>
                <w:rFonts w:hint="eastAsia" w:ascii="宋体" w:hAnsi="宋体" w:eastAsia="宋体" w:cs="宋体"/>
                <w:color w:val="000000" w:themeColor="text1"/>
                <w:sz w:val="24"/>
                <w:highlight w:val="none"/>
                <w14:textFill>
                  <w14:solidFill>
                    <w14:schemeClr w14:val="tx1"/>
                  </w14:solidFill>
                </w14:textFill>
              </w:rPr>
            </w:pPr>
          </w:p>
        </w:tc>
        <w:tc>
          <w:tcPr>
            <w:tcW w:w="5524" w:type="dxa"/>
            <w:vAlign w:val="center"/>
          </w:tcPr>
          <w:p w14:paraId="2D841BDE">
            <w:pPr>
              <w:adjustRightInd w:val="0"/>
              <w:snapToGrid w:val="0"/>
              <w:rPr>
                <w:rFonts w:hint="eastAsia" w:ascii="宋体" w:hAnsi="宋体" w:eastAsia="宋体" w:cs="宋体"/>
                <w:color w:val="000000" w:themeColor="text1"/>
                <w:sz w:val="24"/>
                <w:highlight w:val="none"/>
                <w14:textFill>
                  <w14:solidFill>
                    <w14:schemeClr w14:val="tx1"/>
                  </w14:solidFill>
                </w14:textFill>
              </w:rPr>
            </w:pPr>
          </w:p>
        </w:tc>
        <w:tc>
          <w:tcPr>
            <w:tcW w:w="1545" w:type="dxa"/>
            <w:vAlign w:val="center"/>
          </w:tcPr>
          <w:p w14:paraId="20CDD362">
            <w:pPr>
              <w:adjustRightInd w:val="0"/>
              <w:snapToGrid w:val="0"/>
              <w:rPr>
                <w:rFonts w:hint="eastAsia" w:ascii="宋体" w:hAnsi="宋体" w:eastAsia="宋体" w:cs="宋体"/>
                <w:color w:val="000000" w:themeColor="text1"/>
                <w:sz w:val="24"/>
                <w:highlight w:val="none"/>
                <w14:textFill>
                  <w14:solidFill>
                    <w14:schemeClr w14:val="tx1"/>
                  </w14:solidFill>
                </w14:textFill>
              </w:rPr>
            </w:pPr>
          </w:p>
        </w:tc>
      </w:tr>
      <w:tr w14:paraId="464CF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1237" w:type="dxa"/>
            <w:vMerge w:val="continue"/>
            <w:vAlign w:val="center"/>
          </w:tcPr>
          <w:p w14:paraId="2CAC9C61">
            <w:pPr>
              <w:jc w:val="center"/>
              <w:rPr>
                <w:rFonts w:hint="eastAsia" w:ascii="宋体" w:hAnsi="宋体" w:eastAsia="宋体" w:cs="宋体"/>
                <w:color w:val="000000" w:themeColor="text1"/>
                <w:sz w:val="24"/>
                <w:highlight w:val="none"/>
                <w14:textFill>
                  <w14:solidFill>
                    <w14:schemeClr w14:val="tx1"/>
                  </w14:solidFill>
                </w14:textFill>
              </w:rPr>
            </w:pPr>
          </w:p>
        </w:tc>
        <w:tc>
          <w:tcPr>
            <w:tcW w:w="1459" w:type="dxa"/>
            <w:vAlign w:val="center"/>
          </w:tcPr>
          <w:p w14:paraId="74E788B0">
            <w:pPr>
              <w:jc w:val="center"/>
              <w:rPr>
                <w:rFonts w:hint="eastAsia" w:ascii="宋体" w:hAnsi="宋体" w:eastAsia="宋体" w:cs="宋体"/>
                <w:color w:val="000000" w:themeColor="text1"/>
                <w:sz w:val="24"/>
                <w:highlight w:val="none"/>
                <w14:textFill>
                  <w14:solidFill>
                    <w14:schemeClr w14:val="tx1"/>
                  </w14:solidFill>
                </w14:textFill>
              </w:rPr>
            </w:pPr>
          </w:p>
        </w:tc>
        <w:tc>
          <w:tcPr>
            <w:tcW w:w="5524" w:type="dxa"/>
            <w:vAlign w:val="center"/>
          </w:tcPr>
          <w:p w14:paraId="6445B0CF">
            <w:pPr>
              <w:adjustRightInd w:val="0"/>
              <w:snapToGrid w:val="0"/>
              <w:rPr>
                <w:rFonts w:hint="eastAsia" w:ascii="宋体" w:hAnsi="宋体" w:eastAsia="宋体" w:cs="宋体"/>
                <w:color w:val="000000" w:themeColor="text1"/>
                <w:sz w:val="24"/>
                <w:highlight w:val="none"/>
                <w14:textFill>
                  <w14:solidFill>
                    <w14:schemeClr w14:val="tx1"/>
                  </w14:solidFill>
                </w14:textFill>
              </w:rPr>
            </w:pPr>
          </w:p>
        </w:tc>
        <w:tc>
          <w:tcPr>
            <w:tcW w:w="1545" w:type="dxa"/>
            <w:vAlign w:val="center"/>
          </w:tcPr>
          <w:p w14:paraId="6B200DDF">
            <w:pPr>
              <w:adjustRightInd w:val="0"/>
              <w:snapToGrid w:val="0"/>
              <w:rPr>
                <w:rFonts w:hint="eastAsia" w:ascii="宋体" w:hAnsi="宋体" w:eastAsia="宋体" w:cs="宋体"/>
                <w:color w:val="000000" w:themeColor="text1"/>
                <w:sz w:val="24"/>
                <w:highlight w:val="none"/>
                <w14:textFill>
                  <w14:solidFill>
                    <w14:schemeClr w14:val="tx1"/>
                  </w14:solidFill>
                </w14:textFill>
              </w:rPr>
            </w:pPr>
          </w:p>
        </w:tc>
      </w:tr>
      <w:tr w14:paraId="0BA2A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9" w:hRule="atLeast"/>
        </w:trPr>
        <w:tc>
          <w:tcPr>
            <w:tcW w:w="1237" w:type="dxa"/>
            <w:vMerge w:val="continue"/>
            <w:vAlign w:val="center"/>
          </w:tcPr>
          <w:p w14:paraId="5D94E2EA">
            <w:pPr>
              <w:jc w:val="center"/>
              <w:rPr>
                <w:rFonts w:hint="eastAsia" w:ascii="宋体" w:hAnsi="宋体" w:eastAsia="宋体" w:cs="宋体"/>
                <w:color w:val="000000" w:themeColor="text1"/>
                <w:sz w:val="24"/>
                <w:highlight w:val="none"/>
                <w14:textFill>
                  <w14:solidFill>
                    <w14:schemeClr w14:val="tx1"/>
                  </w14:solidFill>
                </w14:textFill>
              </w:rPr>
            </w:pPr>
          </w:p>
        </w:tc>
        <w:tc>
          <w:tcPr>
            <w:tcW w:w="1459" w:type="dxa"/>
            <w:vAlign w:val="center"/>
          </w:tcPr>
          <w:p w14:paraId="16A82EA0">
            <w:pPr>
              <w:jc w:val="center"/>
              <w:rPr>
                <w:rFonts w:hint="eastAsia" w:ascii="宋体" w:hAnsi="宋体" w:eastAsia="宋体" w:cs="宋体"/>
                <w:color w:val="000000" w:themeColor="text1"/>
                <w:sz w:val="24"/>
                <w:highlight w:val="none"/>
                <w14:textFill>
                  <w14:solidFill>
                    <w14:schemeClr w14:val="tx1"/>
                  </w14:solidFill>
                </w14:textFill>
              </w:rPr>
            </w:pPr>
          </w:p>
        </w:tc>
        <w:tc>
          <w:tcPr>
            <w:tcW w:w="5524" w:type="dxa"/>
            <w:vAlign w:val="center"/>
          </w:tcPr>
          <w:p w14:paraId="7E897AF5">
            <w:pPr>
              <w:adjustRightInd w:val="0"/>
              <w:snapToGrid w:val="0"/>
              <w:rPr>
                <w:rFonts w:hint="eastAsia" w:ascii="宋体" w:hAnsi="宋体" w:eastAsia="宋体" w:cs="宋体"/>
                <w:color w:val="000000" w:themeColor="text1"/>
                <w:sz w:val="24"/>
                <w:highlight w:val="none"/>
                <w14:textFill>
                  <w14:solidFill>
                    <w14:schemeClr w14:val="tx1"/>
                  </w14:solidFill>
                </w14:textFill>
              </w:rPr>
            </w:pPr>
          </w:p>
        </w:tc>
        <w:tc>
          <w:tcPr>
            <w:tcW w:w="1545" w:type="dxa"/>
            <w:vAlign w:val="center"/>
          </w:tcPr>
          <w:p w14:paraId="6411AE01">
            <w:pPr>
              <w:adjustRightInd w:val="0"/>
              <w:snapToGrid w:val="0"/>
              <w:rPr>
                <w:rFonts w:hint="eastAsia" w:ascii="宋体" w:hAnsi="宋体" w:eastAsia="宋体" w:cs="宋体"/>
                <w:color w:val="000000" w:themeColor="text1"/>
                <w:sz w:val="24"/>
                <w:highlight w:val="none"/>
                <w14:textFill>
                  <w14:solidFill>
                    <w14:schemeClr w14:val="tx1"/>
                  </w14:solidFill>
                </w14:textFill>
              </w:rPr>
            </w:pPr>
          </w:p>
        </w:tc>
      </w:tr>
      <w:tr w14:paraId="2E397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9" w:hRule="atLeast"/>
        </w:trPr>
        <w:tc>
          <w:tcPr>
            <w:tcW w:w="1237" w:type="dxa"/>
            <w:vMerge w:val="continue"/>
            <w:vAlign w:val="center"/>
          </w:tcPr>
          <w:p w14:paraId="00BFCD47">
            <w:pPr>
              <w:jc w:val="center"/>
              <w:rPr>
                <w:rFonts w:hint="eastAsia" w:ascii="宋体" w:hAnsi="宋体" w:eastAsia="宋体" w:cs="宋体"/>
                <w:color w:val="000000" w:themeColor="text1"/>
                <w:sz w:val="24"/>
                <w:highlight w:val="none"/>
                <w14:textFill>
                  <w14:solidFill>
                    <w14:schemeClr w14:val="tx1"/>
                  </w14:solidFill>
                </w14:textFill>
              </w:rPr>
            </w:pPr>
          </w:p>
        </w:tc>
        <w:tc>
          <w:tcPr>
            <w:tcW w:w="1459" w:type="dxa"/>
            <w:vAlign w:val="center"/>
          </w:tcPr>
          <w:p w14:paraId="3F766D22">
            <w:pPr>
              <w:jc w:val="center"/>
              <w:rPr>
                <w:rFonts w:hint="eastAsia" w:ascii="宋体" w:hAnsi="宋体" w:eastAsia="宋体" w:cs="宋体"/>
                <w:color w:val="000000" w:themeColor="text1"/>
                <w:sz w:val="24"/>
                <w:highlight w:val="none"/>
                <w14:textFill>
                  <w14:solidFill>
                    <w14:schemeClr w14:val="tx1"/>
                  </w14:solidFill>
                </w14:textFill>
              </w:rPr>
            </w:pPr>
          </w:p>
        </w:tc>
        <w:tc>
          <w:tcPr>
            <w:tcW w:w="5524" w:type="dxa"/>
            <w:vAlign w:val="center"/>
          </w:tcPr>
          <w:p w14:paraId="10C00797">
            <w:pPr>
              <w:adjustRightInd w:val="0"/>
              <w:snapToGrid w:val="0"/>
              <w:rPr>
                <w:rFonts w:hint="eastAsia" w:ascii="宋体" w:hAnsi="宋体" w:eastAsia="宋体" w:cs="宋体"/>
                <w:color w:val="000000" w:themeColor="text1"/>
                <w:sz w:val="24"/>
                <w:highlight w:val="none"/>
                <w14:textFill>
                  <w14:solidFill>
                    <w14:schemeClr w14:val="tx1"/>
                  </w14:solidFill>
                </w14:textFill>
              </w:rPr>
            </w:pPr>
          </w:p>
        </w:tc>
        <w:tc>
          <w:tcPr>
            <w:tcW w:w="1545" w:type="dxa"/>
            <w:vAlign w:val="center"/>
          </w:tcPr>
          <w:p w14:paraId="336B0C93">
            <w:pPr>
              <w:adjustRightInd w:val="0"/>
              <w:snapToGrid w:val="0"/>
              <w:rPr>
                <w:rFonts w:hint="eastAsia" w:ascii="宋体" w:hAnsi="宋体" w:eastAsia="宋体" w:cs="宋体"/>
                <w:color w:val="000000" w:themeColor="text1"/>
                <w:sz w:val="24"/>
                <w:highlight w:val="none"/>
                <w14:textFill>
                  <w14:solidFill>
                    <w14:schemeClr w14:val="tx1"/>
                  </w14:solidFill>
                </w14:textFill>
              </w:rPr>
            </w:pPr>
          </w:p>
        </w:tc>
      </w:tr>
      <w:tr w14:paraId="6B236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trPr>
        <w:tc>
          <w:tcPr>
            <w:tcW w:w="1237" w:type="dxa"/>
            <w:vMerge w:val="restart"/>
            <w:vAlign w:val="center"/>
          </w:tcPr>
          <w:p w14:paraId="2B2D58D1">
            <w:pPr>
              <w:jc w:val="center"/>
              <w:rPr>
                <w:rFonts w:hint="eastAsia" w:ascii="宋体" w:hAnsi="宋体" w:eastAsia="宋体" w:cs="宋体"/>
                <w:color w:val="000000" w:themeColor="text1"/>
                <w:sz w:val="24"/>
                <w:highlight w:val="none"/>
                <w14:textFill>
                  <w14:solidFill>
                    <w14:schemeClr w14:val="tx1"/>
                  </w14:solidFill>
                </w14:textFill>
              </w:rPr>
            </w:pPr>
          </w:p>
        </w:tc>
        <w:tc>
          <w:tcPr>
            <w:tcW w:w="1459" w:type="dxa"/>
            <w:vAlign w:val="center"/>
          </w:tcPr>
          <w:p w14:paraId="703C6EA9">
            <w:pPr>
              <w:pStyle w:val="12"/>
              <w:jc w:val="center"/>
              <w:rPr>
                <w:rFonts w:hint="eastAsia" w:ascii="宋体" w:hAnsi="宋体" w:eastAsia="宋体" w:cs="宋体"/>
                <w:bCs/>
                <w:color w:val="000000" w:themeColor="text1"/>
                <w:sz w:val="24"/>
                <w:szCs w:val="24"/>
                <w:highlight w:val="none"/>
                <w14:textFill>
                  <w14:solidFill>
                    <w14:schemeClr w14:val="tx1"/>
                  </w14:solidFill>
                </w14:textFill>
              </w:rPr>
            </w:pPr>
          </w:p>
        </w:tc>
        <w:tc>
          <w:tcPr>
            <w:tcW w:w="5524" w:type="dxa"/>
            <w:vAlign w:val="center"/>
          </w:tcPr>
          <w:p w14:paraId="0EC3BC65">
            <w:pPr>
              <w:pStyle w:val="6"/>
              <w:spacing w:line="240" w:lineRule="auto"/>
              <w:rPr>
                <w:rFonts w:hint="eastAsia" w:ascii="宋体" w:hAnsi="宋体" w:eastAsia="宋体" w:cs="宋体"/>
                <w:bCs/>
                <w:color w:val="000000" w:themeColor="text1"/>
                <w:szCs w:val="24"/>
                <w:highlight w:val="none"/>
                <w14:textFill>
                  <w14:solidFill>
                    <w14:schemeClr w14:val="tx1"/>
                  </w14:solidFill>
                </w14:textFill>
              </w:rPr>
            </w:pPr>
          </w:p>
        </w:tc>
        <w:tc>
          <w:tcPr>
            <w:tcW w:w="1545" w:type="dxa"/>
            <w:vAlign w:val="center"/>
          </w:tcPr>
          <w:p w14:paraId="7DA08CF7">
            <w:pPr>
              <w:pStyle w:val="6"/>
              <w:spacing w:line="240" w:lineRule="auto"/>
              <w:rPr>
                <w:rFonts w:hint="eastAsia" w:ascii="宋体" w:hAnsi="宋体" w:eastAsia="宋体" w:cs="宋体"/>
                <w:bCs/>
                <w:color w:val="000000" w:themeColor="text1"/>
                <w:szCs w:val="24"/>
                <w:highlight w:val="none"/>
                <w14:textFill>
                  <w14:solidFill>
                    <w14:schemeClr w14:val="tx1"/>
                  </w14:solidFill>
                </w14:textFill>
              </w:rPr>
            </w:pPr>
          </w:p>
        </w:tc>
      </w:tr>
      <w:tr w14:paraId="0DE81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4" w:hRule="atLeast"/>
        </w:trPr>
        <w:tc>
          <w:tcPr>
            <w:tcW w:w="1237" w:type="dxa"/>
            <w:vMerge w:val="continue"/>
            <w:vAlign w:val="center"/>
          </w:tcPr>
          <w:p w14:paraId="50B59231">
            <w:pPr>
              <w:jc w:val="center"/>
              <w:rPr>
                <w:rFonts w:hint="eastAsia" w:ascii="宋体" w:hAnsi="宋体" w:eastAsia="宋体" w:cs="宋体"/>
                <w:color w:val="000000" w:themeColor="text1"/>
                <w:sz w:val="24"/>
                <w:highlight w:val="none"/>
                <w14:textFill>
                  <w14:solidFill>
                    <w14:schemeClr w14:val="tx1"/>
                  </w14:solidFill>
                </w14:textFill>
              </w:rPr>
            </w:pPr>
          </w:p>
        </w:tc>
        <w:tc>
          <w:tcPr>
            <w:tcW w:w="1459" w:type="dxa"/>
            <w:vAlign w:val="center"/>
          </w:tcPr>
          <w:p w14:paraId="6D100456">
            <w:pPr>
              <w:pStyle w:val="12"/>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5524" w:type="dxa"/>
            <w:vAlign w:val="center"/>
          </w:tcPr>
          <w:p w14:paraId="64B52EEB">
            <w:pPr>
              <w:pStyle w:val="6"/>
              <w:spacing w:line="240" w:lineRule="auto"/>
              <w:rPr>
                <w:rFonts w:hint="eastAsia" w:ascii="宋体" w:hAnsi="宋体" w:eastAsia="宋体" w:cs="宋体"/>
                <w:color w:val="000000" w:themeColor="text1"/>
                <w:szCs w:val="24"/>
                <w:highlight w:val="none"/>
                <w14:textFill>
                  <w14:solidFill>
                    <w14:schemeClr w14:val="tx1"/>
                  </w14:solidFill>
                </w14:textFill>
              </w:rPr>
            </w:pPr>
          </w:p>
        </w:tc>
        <w:tc>
          <w:tcPr>
            <w:tcW w:w="1545" w:type="dxa"/>
            <w:vAlign w:val="center"/>
          </w:tcPr>
          <w:p w14:paraId="5CDDE8EA">
            <w:pPr>
              <w:pStyle w:val="6"/>
              <w:spacing w:line="240" w:lineRule="auto"/>
              <w:rPr>
                <w:rFonts w:hint="eastAsia" w:ascii="宋体" w:hAnsi="宋体" w:eastAsia="宋体" w:cs="宋体"/>
                <w:color w:val="000000" w:themeColor="text1"/>
                <w:kern w:val="2"/>
                <w:szCs w:val="24"/>
                <w:highlight w:val="none"/>
                <w14:textFill>
                  <w14:solidFill>
                    <w14:schemeClr w14:val="tx1"/>
                  </w14:solidFill>
                </w14:textFill>
              </w:rPr>
            </w:pPr>
          </w:p>
        </w:tc>
      </w:tr>
      <w:tr w14:paraId="18BAF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trPr>
        <w:tc>
          <w:tcPr>
            <w:tcW w:w="1237" w:type="dxa"/>
            <w:vMerge w:val="continue"/>
            <w:vAlign w:val="center"/>
          </w:tcPr>
          <w:p w14:paraId="1173B39F">
            <w:pPr>
              <w:jc w:val="center"/>
              <w:rPr>
                <w:rFonts w:hint="eastAsia" w:ascii="宋体" w:hAnsi="宋体" w:eastAsia="宋体" w:cs="宋体"/>
                <w:color w:val="000000" w:themeColor="text1"/>
                <w:sz w:val="24"/>
                <w:highlight w:val="none"/>
                <w14:textFill>
                  <w14:solidFill>
                    <w14:schemeClr w14:val="tx1"/>
                  </w14:solidFill>
                </w14:textFill>
              </w:rPr>
            </w:pPr>
          </w:p>
        </w:tc>
        <w:tc>
          <w:tcPr>
            <w:tcW w:w="1459" w:type="dxa"/>
            <w:vAlign w:val="center"/>
          </w:tcPr>
          <w:p w14:paraId="444DC0B6">
            <w:pPr>
              <w:pStyle w:val="12"/>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5524" w:type="dxa"/>
            <w:vAlign w:val="center"/>
          </w:tcPr>
          <w:p w14:paraId="69CD30AE">
            <w:pPr>
              <w:pStyle w:val="6"/>
              <w:spacing w:line="240" w:lineRule="auto"/>
              <w:rPr>
                <w:rFonts w:hint="eastAsia" w:ascii="宋体" w:hAnsi="宋体" w:eastAsia="宋体" w:cs="宋体"/>
                <w:color w:val="000000" w:themeColor="text1"/>
                <w:szCs w:val="24"/>
                <w:highlight w:val="none"/>
                <w14:textFill>
                  <w14:solidFill>
                    <w14:schemeClr w14:val="tx1"/>
                  </w14:solidFill>
                </w14:textFill>
              </w:rPr>
            </w:pPr>
          </w:p>
        </w:tc>
        <w:tc>
          <w:tcPr>
            <w:tcW w:w="1545" w:type="dxa"/>
            <w:vAlign w:val="center"/>
          </w:tcPr>
          <w:p w14:paraId="68A8FCAC">
            <w:pPr>
              <w:pStyle w:val="6"/>
              <w:spacing w:line="240" w:lineRule="auto"/>
              <w:rPr>
                <w:rFonts w:hint="eastAsia" w:ascii="宋体" w:hAnsi="宋体" w:eastAsia="宋体" w:cs="宋体"/>
                <w:color w:val="000000" w:themeColor="text1"/>
                <w:szCs w:val="24"/>
                <w:highlight w:val="none"/>
                <w14:textFill>
                  <w14:solidFill>
                    <w14:schemeClr w14:val="tx1"/>
                  </w14:solidFill>
                </w14:textFill>
              </w:rPr>
            </w:pPr>
          </w:p>
        </w:tc>
      </w:tr>
      <w:bookmarkEnd w:id="70"/>
      <w:bookmarkEnd w:id="71"/>
    </w:tbl>
    <w:p w14:paraId="36901461">
      <w:pPr>
        <w:rPr>
          <w:rFonts w:hint="eastAsia" w:ascii="宋体" w:hAnsi="宋体" w:eastAsia="宋体" w:cs="宋体"/>
          <w:highlight w:val="none"/>
        </w:rPr>
      </w:pPr>
    </w:p>
    <w:p w14:paraId="4A84AA08">
      <w:pPr>
        <w:pStyle w:val="7"/>
        <w:rPr>
          <w:rFonts w:hint="eastAsia" w:ascii="宋体" w:hAnsi="宋体" w:eastAsia="宋体" w:cs="宋体"/>
          <w:highlight w:val="none"/>
        </w:rPr>
      </w:pPr>
    </w:p>
    <w:p w14:paraId="0CF4A728">
      <w:pPr>
        <w:rPr>
          <w:rFonts w:hint="eastAsia" w:ascii="宋体" w:hAnsi="宋体" w:eastAsia="宋体" w:cs="宋体"/>
          <w:highlight w:val="none"/>
        </w:rPr>
      </w:pPr>
      <w:r>
        <w:rPr>
          <w:rFonts w:hint="eastAsia" w:ascii="宋体" w:hAnsi="宋体" w:eastAsia="宋体" w:cs="宋体"/>
          <w:highlight w:val="none"/>
        </w:rPr>
        <w:t xml:space="preserve">附件三   </w:t>
      </w:r>
    </w:p>
    <w:p w14:paraId="652F8B68">
      <w:pPr>
        <w:keepNext w:val="0"/>
        <w:spacing w:before="0" w:after="0" w:line="240" w:lineRule="auto"/>
        <w:jc w:val="center"/>
        <w:outlineLvl w:val="9"/>
        <w:rPr>
          <w:rFonts w:hint="eastAsia" w:ascii="宋体" w:hAnsi="宋体" w:eastAsia="宋体" w:cs="宋体"/>
          <w:sz w:val="24"/>
          <w:szCs w:val="24"/>
          <w:highlight w:val="none"/>
        </w:rPr>
      </w:pPr>
      <w:r>
        <w:rPr>
          <w:rFonts w:hint="eastAsia" w:ascii="宋体" w:hAnsi="宋体" w:eastAsia="宋体" w:cs="宋体"/>
          <w:b w:val="0"/>
          <w:bCs w:val="0"/>
          <w:color w:val="000000"/>
          <w:sz w:val="24"/>
          <w:szCs w:val="24"/>
          <w:highlight w:val="none"/>
        </w:rPr>
        <w:t>三、符合性自查表</w:t>
      </w:r>
    </w:p>
    <w:tbl>
      <w:tblPr>
        <w:tblStyle w:val="22"/>
        <w:tblpPr w:leftFromText="180" w:rightFromText="180" w:vertAnchor="page" w:horzAnchor="page" w:tblpX="1717" w:tblpY="2523"/>
        <w:tblOverlap w:val="never"/>
        <w:tblW w:w="9279" w:type="dxa"/>
        <w:tblInd w:w="0" w:type="dxa"/>
        <w:tblLayout w:type="fixed"/>
        <w:tblCellMar>
          <w:top w:w="57" w:type="dxa"/>
          <w:left w:w="108" w:type="dxa"/>
          <w:bottom w:w="57" w:type="dxa"/>
          <w:right w:w="108" w:type="dxa"/>
        </w:tblCellMar>
      </w:tblPr>
      <w:tblGrid>
        <w:gridCol w:w="699"/>
        <w:gridCol w:w="6023"/>
        <w:gridCol w:w="1298"/>
        <w:gridCol w:w="1259"/>
      </w:tblGrid>
      <w:tr w14:paraId="0B2822B2">
        <w:tblPrEx>
          <w:tblCellMar>
            <w:top w:w="57" w:type="dxa"/>
            <w:left w:w="108" w:type="dxa"/>
            <w:bottom w:w="57" w:type="dxa"/>
            <w:right w:w="108" w:type="dxa"/>
          </w:tblCellMar>
        </w:tblPrEx>
        <w:trPr>
          <w:trHeight w:val="571" w:hRule="atLeast"/>
        </w:trPr>
        <w:tc>
          <w:tcPr>
            <w:tcW w:w="699" w:type="dxa"/>
            <w:tcBorders>
              <w:top w:val="single" w:color="auto" w:sz="4" w:space="0"/>
              <w:left w:val="single" w:color="auto" w:sz="4" w:space="0"/>
              <w:bottom w:val="single" w:color="auto" w:sz="4" w:space="0"/>
              <w:right w:val="single" w:color="auto" w:sz="4" w:space="0"/>
            </w:tcBorders>
            <w:vAlign w:val="center"/>
          </w:tcPr>
          <w:p w14:paraId="778B01BF">
            <w:pPr>
              <w:widowControl/>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序号</w:t>
            </w:r>
          </w:p>
        </w:tc>
        <w:tc>
          <w:tcPr>
            <w:tcW w:w="6023" w:type="dxa"/>
            <w:tcBorders>
              <w:top w:val="single" w:color="auto" w:sz="4" w:space="0"/>
              <w:left w:val="single" w:color="auto" w:sz="4" w:space="0"/>
              <w:bottom w:val="single" w:color="auto" w:sz="4" w:space="0"/>
              <w:right w:val="single" w:color="auto" w:sz="4" w:space="0"/>
            </w:tcBorders>
            <w:vAlign w:val="center"/>
          </w:tcPr>
          <w:p w14:paraId="7A8CAE37">
            <w:pPr>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审核内容</w:t>
            </w:r>
          </w:p>
        </w:tc>
        <w:tc>
          <w:tcPr>
            <w:tcW w:w="1298" w:type="dxa"/>
            <w:tcBorders>
              <w:top w:val="single" w:color="auto" w:sz="4" w:space="0"/>
              <w:left w:val="nil"/>
              <w:bottom w:val="single" w:color="auto" w:sz="4" w:space="0"/>
              <w:right w:val="single" w:color="auto" w:sz="4" w:space="0"/>
            </w:tcBorders>
            <w:vAlign w:val="center"/>
          </w:tcPr>
          <w:p w14:paraId="5083E448">
            <w:pPr>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响应情况</w:t>
            </w:r>
          </w:p>
        </w:tc>
        <w:tc>
          <w:tcPr>
            <w:tcW w:w="1259" w:type="dxa"/>
            <w:tcBorders>
              <w:top w:val="single" w:color="auto" w:sz="4" w:space="0"/>
              <w:left w:val="nil"/>
              <w:bottom w:val="single" w:color="auto" w:sz="4" w:space="0"/>
              <w:right w:val="single" w:color="auto" w:sz="4" w:space="0"/>
            </w:tcBorders>
            <w:vAlign w:val="center"/>
          </w:tcPr>
          <w:p w14:paraId="013A9078">
            <w:pPr>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对应页码</w:t>
            </w:r>
          </w:p>
        </w:tc>
      </w:tr>
      <w:tr w14:paraId="01838760">
        <w:tblPrEx>
          <w:tblCellMar>
            <w:top w:w="57" w:type="dxa"/>
            <w:left w:w="108" w:type="dxa"/>
            <w:bottom w:w="57" w:type="dxa"/>
            <w:right w:w="108" w:type="dxa"/>
          </w:tblCellMar>
        </w:tblPrEx>
        <w:trPr>
          <w:trHeight w:val="571" w:hRule="atLeast"/>
        </w:trPr>
        <w:tc>
          <w:tcPr>
            <w:tcW w:w="699" w:type="dxa"/>
            <w:tcBorders>
              <w:top w:val="single" w:color="auto" w:sz="4" w:space="0"/>
              <w:left w:val="single" w:color="auto" w:sz="4" w:space="0"/>
              <w:bottom w:val="single" w:color="auto" w:sz="4" w:space="0"/>
              <w:right w:val="single" w:color="auto" w:sz="4" w:space="0"/>
            </w:tcBorders>
            <w:vAlign w:val="center"/>
          </w:tcPr>
          <w:p w14:paraId="1A20B7F1">
            <w:pPr>
              <w:widowControl/>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1</w:t>
            </w:r>
          </w:p>
        </w:tc>
        <w:tc>
          <w:tcPr>
            <w:tcW w:w="6023" w:type="dxa"/>
            <w:tcBorders>
              <w:top w:val="single" w:color="auto" w:sz="4" w:space="0"/>
              <w:left w:val="nil"/>
              <w:bottom w:val="single" w:color="auto" w:sz="4" w:space="0"/>
              <w:right w:val="single" w:color="auto" w:sz="4" w:space="0"/>
            </w:tcBorders>
            <w:vAlign w:val="center"/>
          </w:tcPr>
          <w:p w14:paraId="68D31A30">
            <w:pPr>
              <w:widowControl/>
              <w:adjustRightInd w:val="0"/>
              <w:snapToGrid w:val="0"/>
              <w:ind w:left="2" w:leftChars="1" w:firstLine="31" w:firstLineChars="13"/>
              <w:rPr>
                <w:rFonts w:hint="eastAsia" w:ascii="宋体" w:hAnsi="宋体" w:eastAsia="宋体" w:cs="宋体"/>
                <w:kern w:val="0"/>
                <w:sz w:val="24"/>
                <w:highlight w:val="none"/>
              </w:rPr>
            </w:pPr>
          </w:p>
        </w:tc>
        <w:tc>
          <w:tcPr>
            <w:tcW w:w="1298" w:type="dxa"/>
            <w:tcBorders>
              <w:top w:val="nil"/>
              <w:left w:val="nil"/>
              <w:bottom w:val="single" w:color="auto" w:sz="4" w:space="0"/>
              <w:right w:val="single" w:color="auto" w:sz="4" w:space="0"/>
            </w:tcBorders>
            <w:vAlign w:val="center"/>
          </w:tcPr>
          <w:p w14:paraId="06A93C2B">
            <w:pPr>
              <w:adjustRightInd w:val="0"/>
              <w:snapToGrid w:val="0"/>
              <w:rPr>
                <w:rFonts w:hint="eastAsia" w:ascii="宋体" w:hAnsi="宋体" w:eastAsia="宋体" w:cs="宋体"/>
                <w:kern w:val="0"/>
                <w:sz w:val="24"/>
                <w:highlight w:val="none"/>
              </w:rPr>
            </w:pPr>
          </w:p>
        </w:tc>
        <w:tc>
          <w:tcPr>
            <w:tcW w:w="1259" w:type="dxa"/>
            <w:tcBorders>
              <w:top w:val="nil"/>
              <w:left w:val="nil"/>
              <w:bottom w:val="single" w:color="auto" w:sz="4" w:space="0"/>
              <w:right w:val="single" w:color="auto" w:sz="4" w:space="0"/>
            </w:tcBorders>
            <w:vAlign w:val="center"/>
          </w:tcPr>
          <w:p w14:paraId="3984E407">
            <w:pPr>
              <w:adjustRightInd w:val="0"/>
              <w:snapToGrid w:val="0"/>
              <w:rPr>
                <w:rFonts w:hint="eastAsia" w:ascii="宋体" w:hAnsi="宋体" w:eastAsia="宋体" w:cs="宋体"/>
                <w:kern w:val="0"/>
                <w:sz w:val="24"/>
                <w:highlight w:val="none"/>
              </w:rPr>
            </w:pPr>
          </w:p>
        </w:tc>
      </w:tr>
      <w:tr w14:paraId="02D65B86">
        <w:tblPrEx>
          <w:tblCellMar>
            <w:top w:w="57" w:type="dxa"/>
            <w:left w:w="108" w:type="dxa"/>
            <w:bottom w:w="57" w:type="dxa"/>
            <w:right w:w="108" w:type="dxa"/>
          </w:tblCellMar>
        </w:tblPrEx>
        <w:trPr>
          <w:trHeight w:val="571" w:hRule="atLeast"/>
        </w:trPr>
        <w:tc>
          <w:tcPr>
            <w:tcW w:w="699" w:type="dxa"/>
            <w:tcBorders>
              <w:top w:val="single" w:color="auto" w:sz="4" w:space="0"/>
              <w:left w:val="single" w:color="auto" w:sz="4" w:space="0"/>
              <w:bottom w:val="single" w:color="auto" w:sz="4" w:space="0"/>
              <w:right w:val="single" w:color="auto" w:sz="4" w:space="0"/>
            </w:tcBorders>
            <w:vAlign w:val="center"/>
          </w:tcPr>
          <w:p w14:paraId="7562A00B">
            <w:pPr>
              <w:widowControl/>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2</w:t>
            </w:r>
          </w:p>
        </w:tc>
        <w:tc>
          <w:tcPr>
            <w:tcW w:w="6023" w:type="dxa"/>
            <w:tcBorders>
              <w:top w:val="single" w:color="auto" w:sz="4" w:space="0"/>
              <w:left w:val="nil"/>
              <w:bottom w:val="single" w:color="auto" w:sz="4" w:space="0"/>
              <w:right w:val="single" w:color="auto" w:sz="4" w:space="0"/>
            </w:tcBorders>
            <w:vAlign w:val="center"/>
          </w:tcPr>
          <w:p w14:paraId="3D089CC2">
            <w:pPr>
              <w:widowControl/>
              <w:adjustRightInd w:val="0"/>
              <w:snapToGrid w:val="0"/>
              <w:ind w:left="2" w:leftChars="1" w:firstLine="31" w:firstLineChars="13"/>
              <w:rPr>
                <w:rFonts w:hint="eastAsia" w:ascii="宋体" w:hAnsi="宋体" w:eastAsia="宋体" w:cs="宋体"/>
                <w:kern w:val="0"/>
                <w:sz w:val="24"/>
                <w:highlight w:val="none"/>
              </w:rPr>
            </w:pPr>
          </w:p>
        </w:tc>
        <w:tc>
          <w:tcPr>
            <w:tcW w:w="1298" w:type="dxa"/>
            <w:tcBorders>
              <w:top w:val="nil"/>
              <w:left w:val="nil"/>
              <w:bottom w:val="single" w:color="auto" w:sz="4" w:space="0"/>
              <w:right w:val="single" w:color="auto" w:sz="4" w:space="0"/>
            </w:tcBorders>
            <w:vAlign w:val="center"/>
          </w:tcPr>
          <w:p w14:paraId="43770658">
            <w:pPr>
              <w:adjustRightInd w:val="0"/>
              <w:snapToGrid w:val="0"/>
              <w:rPr>
                <w:rFonts w:hint="eastAsia" w:ascii="宋体" w:hAnsi="宋体" w:eastAsia="宋体" w:cs="宋体"/>
                <w:kern w:val="0"/>
                <w:sz w:val="24"/>
                <w:highlight w:val="none"/>
              </w:rPr>
            </w:pPr>
          </w:p>
        </w:tc>
        <w:tc>
          <w:tcPr>
            <w:tcW w:w="1259" w:type="dxa"/>
            <w:tcBorders>
              <w:top w:val="nil"/>
              <w:left w:val="nil"/>
              <w:bottom w:val="single" w:color="auto" w:sz="4" w:space="0"/>
              <w:right w:val="single" w:color="auto" w:sz="4" w:space="0"/>
            </w:tcBorders>
            <w:vAlign w:val="center"/>
          </w:tcPr>
          <w:p w14:paraId="381E7879">
            <w:pPr>
              <w:adjustRightInd w:val="0"/>
              <w:snapToGrid w:val="0"/>
              <w:rPr>
                <w:rFonts w:hint="eastAsia" w:ascii="宋体" w:hAnsi="宋体" w:eastAsia="宋体" w:cs="宋体"/>
                <w:kern w:val="0"/>
                <w:sz w:val="24"/>
                <w:highlight w:val="none"/>
              </w:rPr>
            </w:pPr>
          </w:p>
        </w:tc>
      </w:tr>
      <w:tr w14:paraId="41E25EAC">
        <w:tblPrEx>
          <w:tblCellMar>
            <w:top w:w="57" w:type="dxa"/>
            <w:left w:w="108" w:type="dxa"/>
            <w:bottom w:w="57" w:type="dxa"/>
            <w:right w:w="108" w:type="dxa"/>
          </w:tblCellMar>
        </w:tblPrEx>
        <w:trPr>
          <w:trHeight w:val="571" w:hRule="atLeast"/>
        </w:trPr>
        <w:tc>
          <w:tcPr>
            <w:tcW w:w="699" w:type="dxa"/>
            <w:tcBorders>
              <w:top w:val="single" w:color="auto" w:sz="4" w:space="0"/>
              <w:left w:val="single" w:color="auto" w:sz="4" w:space="0"/>
              <w:bottom w:val="single" w:color="auto" w:sz="4" w:space="0"/>
              <w:right w:val="single" w:color="auto" w:sz="4" w:space="0"/>
            </w:tcBorders>
            <w:vAlign w:val="center"/>
          </w:tcPr>
          <w:p w14:paraId="0BDC1DD2">
            <w:pPr>
              <w:widowControl/>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3</w:t>
            </w:r>
          </w:p>
        </w:tc>
        <w:tc>
          <w:tcPr>
            <w:tcW w:w="6023" w:type="dxa"/>
            <w:tcBorders>
              <w:top w:val="single" w:color="auto" w:sz="4" w:space="0"/>
              <w:left w:val="nil"/>
              <w:bottom w:val="single" w:color="auto" w:sz="4" w:space="0"/>
              <w:right w:val="single" w:color="auto" w:sz="4" w:space="0"/>
            </w:tcBorders>
            <w:vAlign w:val="center"/>
          </w:tcPr>
          <w:p w14:paraId="16E5A45E">
            <w:pPr>
              <w:widowControl/>
              <w:adjustRightInd w:val="0"/>
              <w:snapToGrid w:val="0"/>
              <w:ind w:left="2" w:leftChars="1" w:firstLine="31" w:firstLineChars="13"/>
              <w:rPr>
                <w:rFonts w:hint="eastAsia" w:ascii="宋体" w:hAnsi="宋体" w:eastAsia="宋体" w:cs="宋体"/>
                <w:kern w:val="0"/>
                <w:sz w:val="24"/>
                <w:highlight w:val="none"/>
              </w:rPr>
            </w:pPr>
          </w:p>
        </w:tc>
        <w:tc>
          <w:tcPr>
            <w:tcW w:w="1298" w:type="dxa"/>
            <w:tcBorders>
              <w:top w:val="nil"/>
              <w:left w:val="nil"/>
              <w:bottom w:val="single" w:color="auto" w:sz="4" w:space="0"/>
              <w:right w:val="single" w:color="auto" w:sz="4" w:space="0"/>
            </w:tcBorders>
            <w:vAlign w:val="center"/>
          </w:tcPr>
          <w:p w14:paraId="25338AAC">
            <w:pPr>
              <w:adjustRightInd w:val="0"/>
              <w:snapToGrid w:val="0"/>
              <w:rPr>
                <w:rFonts w:hint="eastAsia" w:ascii="宋体" w:hAnsi="宋体" w:eastAsia="宋体" w:cs="宋体"/>
                <w:kern w:val="0"/>
                <w:sz w:val="24"/>
                <w:highlight w:val="none"/>
              </w:rPr>
            </w:pPr>
          </w:p>
        </w:tc>
        <w:tc>
          <w:tcPr>
            <w:tcW w:w="1259" w:type="dxa"/>
            <w:tcBorders>
              <w:top w:val="nil"/>
              <w:left w:val="nil"/>
              <w:bottom w:val="single" w:color="auto" w:sz="4" w:space="0"/>
              <w:right w:val="single" w:color="auto" w:sz="4" w:space="0"/>
            </w:tcBorders>
            <w:vAlign w:val="center"/>
          </w:tcPr>
          <w:p w14:paraId="0B97647F">
            <w:pPr>
              <w:adjustRightInd w:val="0"/>
              <w:snapToGrid w:val="0"/>
              <w:rPr>
                <w:rFonts w:hint="eastAsia" w:ascii="宋体" w:hAnsi="宋体" w:eastAsia="宋体" w:cs="宋体"/>
                <w:kern w:val="0"/>
                <w:sz w:val="24"/>
                <w:highlight w:val="none"/>
              </w:rPr>
            </w:pPr>
          </w:p>
        </w:tc>
      </w:tr>
      <w:tr w14:paraId="64718492">
        <w:tblPrEx>
          <w:tblCellMar>
            <w:top w:w="57" w:type="dxa"/>
            <w:left w:w="108" w:type="dxa"/>
            <w:bottom w:w="57" w:type="dxa"/>
            <w:right w:w="108" w:type="dxa"/>
          </w:tblCellMar>
        </w:tblPrEx>
        <w:trPr>
          <w:trHeight w:val="571" w:hRule="atLeast"/>
        </w:trPr>
        <w:tc>
          <w:tcPr>
            <w:tcW w:w="699" w:type="dxa"/>
            <w:tcBorders>
              <w:top w:val="single" w:color="auto" w:sz="4" w:space="0"/>
              <w:left w:val="single" w:color="auto" w:sz="4" w:space="0"/>
              <w:bottom w:val="single" w:color="auto" w:sz="4" w:space="0"/>
              <w:right w:val="single" w:color="auto" w:sz="4" w:space="0"/>
            </w:tcBorders>
            <w:vAlign w:val="center"/>
          </w:tcPr>
          <w:p w14:paraId="78AC1680">
            <w:pPr>
              <w:widowControl/>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4</w:t>
            </w:r>
          </w:p>
        </w:tc>
        <w:tc>
          <w:tcPr>
            <w:tcW w:w="6023" w:type="dxa"/>
            <w:tcBorders>
              <w:top w:val="single" w:color="auto" w:sz="4" w:space="0"/>
              <w:left w:val="nil"/>
              <w:bottom w:val="single" w:color="auto" w:sz="4" w:space="0"/>
              <w:right w:val="single" w:color="auto" w:sz="4" w:space="0"/>
            </w:tcBorders>
            <w:vAlign w:val="center"/>
          </w:tcPr>
          <w:p w14:paraId="6C75DB8C">
            <w:pPr>
              <w:widowControl/>
              <w:adjustRightInd w:val="0"/>
              <w:snapToGrid w:val="0"/>
              <w:ind w:left="2" w:leftChars="1" w:firstLine="31" w:firstLineChars="13"/>
              <w:rPr>
                <w:rFonts w:hint="eastAsia" w:ascii="宋体" w:hAnsi="宋体" w:eastAsia="宋体" w:cs="宋体"/>
                <w:kern w:val="0"/>
                <w:sz w:val="24"/>
                <w:highlight w:val="none"/>
              </w:rPr>
            </w:pPr>
          </w:p>
        </w:tc>
        <w:tc>
          <w:tcPr>
            <w:tcW w:w="1298" w:type="dxa"/>
            <w:tcBorders>
              <w:top w:val="nil"/>
              <w:left w:val="nil"/>
              <w:bottom w:val="single" w:color="auto" w:sz="4" w:space="0"/>
              <w:right w:val="single" w:color="auto" w:sz="4" w:space="0"/>
            </w:tcBorders>
            <w:vAlign w:val="center"/>
          </w:tcPr>
          <w:p w14:paraId="4B4AA6D2">
            <w:pPr>
              <w:adjustRightInd w:val="0"/>
              <w:snapToGrid w:val="0"/>
              <w:rPr>
                <w:rFonts w:hint="eastAsia" w:ascii="宋体" w:hAnsi="宋体" w:eastAsia="宋体" w:cs="宋体"/>
                <w:kern w:val="0"/>
                <w:sz w:val="24"/>
                <w:highlight w:val="none"/>
              </w:rPr>
            </w:pPr>
          </w:p>
        </w:tc>
        <w:tc>
          <w:tcPr>
            <w:tcW w:w="1259" w:type="dxa"/>
            <w:tcBorders>
              <w:top w:val="nil"/>
              <w:left w:val="nil"/>
              <w:bottom w:val="single" w:color="auto" w:sz="4" w:space="0"/>
              <w:right w:val="single" w:color="auto" w:sz="4" w:space="0"/>
            </w:tcBorders>
            <w:vAlign w:val="center"/>
          </w:tcPr>
          <w:p w14:paraId="6397FA12">
            <w:pPr>
              <w:adjustRightInd w:val="0"/>
              <w:snapToGrid w:val="0"/>
              <w:rPr>
                <w:rFonts w:hint="eastAsia" w:ascii="宋体" w:hAnsi="宋体" w:eastAsia="宋体" w:cs="宋体"/>
                <w:kern w:val="0"/>
                <w:sz w:val="24"/>
                <w:highlight w:val="none"/>
              </w:rPr>
            </w:pPr>
          </w:p>
        </w:tc>
      </w:tr>
      <w:tr w14:paraId="47C9431C">
        <w:tblPrEx>
          <w:tblCellMar>
            <w:top w:w="57" w:type="dxa"/>
            <w:left w:w="108" w:type="dxa"/>
            <w:bottom w:w="57" w:type="dxa"/>
            <w:right w:w="108" w:type="dxa"/>
          </w:tblCellMar>
        </w:tblPrEx>
        <w:trPr>
          <w:trHeight w:val="571" w:hRule="atLeast"/>
        </w:trPr>
        <w:tc>
          <w:tcPr>
            <w:tcW w:w="699" w:type="dxa"/>
            <w:tcBorders>
              <w:top w:val="single" w:color="auto" w:sz="4" w:space="0"/>
              <w:left w:val="single" w:color="auto" w:sz="4" w:space="0"/>
              <w:bottom w:val="single" w:color="auto" w:sz="4" w:space="0"/>
              <w:right w:val="single" w:color="auto" w:sz="4" w:space="0"/>
            </w:tcBorders>
            <w:vAlign w:val="center"/>
          </w:tcPr>
          <w:p w14:paraId="672BCCCE">
            <w:pPr>
              <w:widowControl/>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5</w:t>
            </w:r>
          </w:p>
        </w:tc>
        <w:tc>
          <w:tcPr>
            <w:tcW w:w="6023" w:type="dxa"/>
            <w:tcBorders>
              <w:top w:val="single" w:color="auto" w:sz="4" w:space="0"/>
              <w:left w:val="nil"/>
              <w:bottom w:val="single" w:color="auto" w:sz="4" w:space="0"/>
              <w:right w:val="single" w:color="auto" w:sz="4" w:space="0"/>
            </w:tcBorders>
            <w:vAlign w:val="center"/>
          </w:tcPr>
          <w:p w14:paraId="0741B182">
            <w:pPr>
              <w:widowControl/>
              <w:adjustRightInd w:val="0"/>
              <w:snapToGrid w:val="0"/>
              <w:ind w:left="2" w:leftChars="1" w:firstLine="31" w:firstLineChars="13"/>
              <w:rPr>
                <w:rFonts w:hint="eastAsia" w:ascii="宋体" w:hAnsi="宋体" w:eastAsia="宋体" w:cs="宋体"/>
                <w:kern w:val="0"/>
                <w:sz w:val="24"/>
                <w:highlight w:val="none"/>
              </w:rPr>
            </w:pPr>
          </w:p>
        </w:tc>
        <w:tc>
          <w:tcPr>
            <w:tcW w:w="1298" w:type="dxa"/>
            <w:tcBorders>
              <w:top w:val="nil"/>
              <w:left w:val="nil"/>
              <w:bottom w:val="single" w:color="auto" w:sz="4" w:space="0"/>
              <w:right w:val="single" w:color="auto" w:sz="4" w:space="0"/>
            </w:tcBorders>
            <w:vAlign w:val="center"/>
          </w:tcPr>
          <w:p w14:paraId="1B205A4C">
            <w:pPr>
              <w:adjustRightInd w:val="0"/>
              <w:snapToGrid w:val="0"/>
              <w:rPr>
                <w:rFonts w:hint="eastAsia" w:ascii="宋体" w:hAnsi="宋体" w:eastAsia="宋体" w:cs="宋体"/>
                <w:kern w:val="0"/>
                <w:sz w:val="24"/>
                <w:highlight w:val="none"/>
              </w:rPr>
            </w:pPr>
          </w:p>
        </w:tc>
        <w:tc>
          <w:tcPr>
            <w:tcW w:w="1259" w:type="dxa"/>
            <w:tcBorders>
              <w:top w:val="nil"/>
              <w:left w:val="nil"/>
              <w:bottom w:val="single" w:color="auto" w:sz="4" w:space="0"/>
              <w:right w:val="single" w:color="auto" w:sz="4" w:space="0"/>
            </w:tcBorders>
            <w:vAlign w:val="center"/>
          </w:tcPr>
          <w:p w14:paraId="7A3C75B1">
            <w:pPr>
              <w:adjustRightInd w:val="0"/>
              <w:snapToGrid w:val="0"/>
              <w:rPr>
                <w:rFonts w:hint="eastAsia" w:ascii="宋体" w:hAnsi="宋体" w:eastAsia="宋体" w:cs="宋体"/>
                <w:kern w:val="0"/>
                <w:sz w:val="24"/>
                <w:highlight w:val="none"/>
              </w:rPr>
            </w:pPr>
          </w:p>
        </w:tc>
      </w:tr>
      <w:tr w14:paraId="5883A309">
        <w:tblPrEx>
          <w:tblCellMar>
            <w:top w:w="57" w:type="dxa"/>
            <w:left w:w="108" w:type="dxa"/>
            <w:bottom w:w="57" w:type="dxa"/>
            <w:right w:w="108" w:type="dxa"/>
          </w:tblCellMar>
        </w:tblPrEx>
        <w:trPr>
          <w:trHeight w:val="571" w:hRule="atLeast"/>
        </w:trPr>
        <w:tc>
          <w:tcPr>
            <w:tcW w:w="699" w:type="dxa"/>
            <w:tcBorders>
              <w:top w:val="single" w:color="auto" w:sz="4" w:space="0"/>
              <w:left w:val="single" w:color="auto" w:sz="4" w:space="0"/>
              <w:bottom w:val="single" w:color="auto" w:sz="4" w:space="0"/>
              <w:right w:val="single" w:color="auto" w:sz="4" w:space="0"/>
            </w:tcBorders>
            <w:vAlign w:val="center"/>
          </w:tcPr>
          <w:p w14:paraId="71D7C9B0">
            <w:pPr>
              <w:widowControl/>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6</w:t>
            </w:r>
          </w:p>
        </w:tc>
        <w:tc>
          <w:tcPr>
            <w:tcW w:w="6023" w:type="dxa"/>
            <w:tcBorders>
              <w:top w:val="single" w:color="auto" w:sz="4" w:space="0"/>
              <w:left w:val="nil"/>
              <w:bottom w:val="single" w:color="auto" w:sz="4" w:space="0"/>
              <w:right w:val="single" w:color="auto" w:sz="4" w:space="0"/>
            </w:tcBorders>
            <w:vAlign w:val="center"/>
          </w:tcPr>
          <w:p w14:paraId="6BE87834">
            <w:pPr>
              <w:widowControl/>
              <w:adjustRightInd w:val="0"/>
              <w:snapToGrid w:val="0"/>
              <w:ind w:left="2" w:leftChars="1" w:firstLine="31" w:firstLineChars="13"/>
              <w:rPr>
                <w:rFonts w:hint="eastAsia" w:ascii="宋体" w:hAnsi="宋体" w:eastAsia="宋体" w:cs="宋体"/>
                <w:kern w:val="0"/>
                <w:sz w:val="24"/>
                <w:highlight w:val="none"/>
              </w:rPr>
            </w:pPr>
          </w:p>
        </w:tc>
        <w:tc>
          <w:tcPr>
            <w:tcW w:w="1298" w:type="dxa"/>
            <w:tcBorders>
              <w:top w:val="nil"/>
              <w:left w:val="nil"/>
              <w:bottom w:val="single" w:color="auto" w:sz="4" w:space="0"/>
              <w:right w:val="single" w:color="auto" w:sz="4" w:space="0"/>
            </w:tcBorders>
            <w:vAlign w:val="center"/>
          </w:tcPr>
          <w:p w14:paraId="6E9EF72A">
            <w:pPr>
              <w:adjustRightInd w:val="0"/>
              <w:snapToGrid w:val="0"/>
              <w:rPr>
                <w:rFonts w:hint="eastAsia" w:ascii="宋体" w:hAnsi="宋体" w:eastAsia="宋体" w:cs="宋体"/>
                <w:kern w:val="0"/>
                <w:sz w:val="24"/>
                <w:highlight w:val="none"/>
              </w:rPr>
            </w:pPr>
          </w:p>
        </w:tc>
        <w:tc>
          <w:tcPr>
            <w:tcW w:w="1259" w:type="dxa"/>
            <w:tcBorders>
              <w:top w:val="nil"/>
              <w:left w:val="nil"/>
              <w:bottom w:val="single" w:color="auto" w:sz="4" w:space="0"/>
              <w:right w:val="single" w:color="auto" w:sz="4" w:space="0"/>
            </w:tcBorders>
            <w:vAlign w:val="center"/>
          </w:tcPr>
          <w:p w14:paraId="6FEBCD78">
            <w:pPr>
              <w:adjustRightInd w:val="0"/>
              <w:snapToGrid w:val="0"/>
              <w:rPr>
                <w:rFonts w:hint="eastAsia" w:ascii="宋体" w:hAnsi="宋体" w:eastAsia="宋体" w:cs="宋体"/>
                <w:kern w:val="0"/>
                <w:sz w:val="24"/>
                <w:highlight w:val="none"/>
              </w:rPr>
            </w:pPr>
          </w:p>
        </w:tc>
      </w:tr>
      <w:tr w14:paraId="0721AF04">
        <w:tblPrEx>
          <w:tblCellMar>
            <w:top w:w="57" w:type="dxa"/>
            <w:left w:w="108" w:type="dxa"/>
            <w:bottom w:w="57" w:type="dxa"/>
            <w:right w:w="108" w:type="dxa"/>
          </w:tblCellMar>
        </w:tblPrEx>
        <w:trPr>
          <w:trHeight w:val="2524" w:hRule="atLeast"/>
        </w:trPr>
        <w:tc>
          <w:tcPr>
            <w:tcW w:w="699" w:type="dxa"/>
            <w:tcBorders>
              <w:top w:val="single" w:color="auto" w:sz="4" w:space="0"/>
              <w:left w:val="single" w:color="auto" w:sz="4" w:space="0"/>
              <w:bottom w:val="single" w:color="auto" w:sz="4" w:space="0"/>
              <w:right w:val="single" w:color="auto" w:sz="4" w:space="0"/>
            </w:tcBorders>
            <w:vAlign w:val="center"/>
          </w:tcPr>
          <w:p w14:paraId="75D6DFB1">
            <w:pPr>
              <w:widowControl/>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7</w:t>
            </w:r>
          </w:p>
        </w:tc>
        <w:tc>
          <w:tcPr>
            <w:tcW w:w="6023" w:type="dxa"/>
            <w:tcBorders>
              <w:top w:val="single" w:color="auto" w:sz="4" w:space="0"/>
              <w:left w:val="nil"/>
              <w:bottom w:val="single" w:color="auto" w:sz="4" w:space="0"/>
              <w:right w:val="single" w:color="auto" w:sz="4" w:space="0"/>
            </w:tcBorders>
            <w:vAlign w:val="center"/>
          </w:tcPr>
          <w:p w14:paraId="2C0739C8">
            <w:pPr>
              <w:widowControl/>
              <w:adjustRightInd w:val="0"/>
              <w:snapToGrid w:val="0"/>
              <w:ind w:left="2" w:leftChars="1" w:firstLine="31" w:firstLineChars="13"/>
              <w:jc w:val="left"/>
              <w:rPr>
                <w:rFonts w:hint="eastAsia" w:ascii="宋体" w:hAnsi="宋体" w:eastAsia="宋体" w:cs="宋体"/>
                <w:kern w:val="0"/>
                <w:sz w:val="24"/>
                <w:highlight w:val="none"/>
              </w:rPr>
            </w:pPr>
          </w:p>
        </w:tc>
        <w:tc>
          <w:tcPr>
            <w:tcW w:w="1298" w:type="dxa"/>
            <w:tcBorders>
              <w:top w:val="nil"/>
              <w:left w:val="nil"/>
              <w:bottom w:val="single" w:color="auto" w:sz="4" w:space="0"/>
              <w:right w:val="single" w:color="auto" w:sz="4" w:space="0"/>
            </w:tcBorders>
            <w:vAlign w:val="center"/>
          </w:tcPr>
          <w:p w14:paraId="5B7CA162">
            <w:pPr>
              <w:widowControl/>
              <w:adjustRightInd w:val="0"/>
              <w:snapToGrid w:val="0"/>
              <w:rPr>
                <w:rFonts w:hint="eastAsia" w:ascii="宋体" w:hAnsi="宋体" w:eastAsia="宋体" w:cs="宋体"/>
                <w:kern w:val="0"/>
                <w:sz w:val="24"/>
                <w:highlight w:val="none"/>
              </w:rPr>
            </w:pPr>
          </w:p>
        </w:tc>
        <w:tc>
          <w:tcPr>
            <w:tcW w:w="1259" w:type="dxa"/>
            <w:tcBorders>
              <w:top w:val="nil"/>
              <w:left w:val="nil"/>
              <w:bottom w:val="single" w:color="auto" w:sz="4" w:space="0"/>
              <w:right w:val="single" w:color="auto" w:sz="4" w:space="0"/>
            </w:tcBorders>
            <w:vAlign w:val="center"/>
          </w:tcPr>
          <w:p w14:paraId="3FF935CD">
            <w:pPr>
              <w:widowControl/>
              <w:adjustRightInd w:val="0"/>
              <w:snapToGrid w:val="0"/>
              <w:rPr>
                <w:rFonts w:hint="eastAsia" w:ascii="宋体" w:hAnsi="宋体" w:eastAsia="宋体" w:cs="宋体"/>
                <w:kern w:val="0"/>
                <w:sz w:val="24"/>
                <w:highlight w:val="none"/>
              </w:rPr>
            </w:pPr>
          </w:p>
        </w:tc>
      </w:tr>
      <w:tr w14:paraId="6C4D5B37">
        <w:tblPrEx>
          <w:tblCellMar>
            <w:top w:w="57" w:type="dxa"/>
            <w:left w:w="108" w:type="dxa"/>
            <w:bottom w:w="57" w:type="dxa"/>
            <w:right w:w="108" w:type="dxa"/>
          </w:tblCellMar>
        </w:tblPrEx>
        <w:trPr>
          <w:trHeight w:val="593" w:hRule="atLeast"/>
        </w:trPr>
        <w:tc>
          <w:tcPr>
            <w:tcW w:w="699" w:type="dxa"/>
            <w:tcBorders>
              <w:top w:val="single" w:color="auto" w:sz="4" w:space="0"/>
              <w:left w:val="single" w:color="auto" w:sz="4" w:space="0"/>
              <w:bottom w:val="single" w:color="auto" w:sz="4" w:space="0"/>
              <w:right w:val="single" w:color="auto" w:sz="4" w:space="0"/>
            </w:tcBorders>
            <w:vAlign w:val="center"/>
          </w:tcPr>
          <w:p w14:paraId="313A66FC">
            <w:pPr>
              <w:widowControl/>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8</w:t>
            </w:r>
          </w:p>
        </w:tc>
        <w:tc>
          <w:tcPr>
            <w:tcW w:w="6023" w:type="dxa"/>
            <w:tcBorders>
              <w:top w:val="single" w:color="auto" w:sz="4" w:space="0"/>
              <w:left w:val="nil"/>
              <w:bottom w:val="single" w:color="auto" w:sz="4" w:space="0"/>
              <w:right w:val="single" w:color="auto" w:sz="4" w:space="0"/>
            </w:tcBorders>
            <w:vAlign w:val="center"/>
          </w:tcPr>
          <w:p w14:paraId="5CADEA3D">
            <w:pPr>
              <w:widowControl/>
              <w:adjustRightInd w:val="0"/>
              <w:snapToGrid w:val="0"/>
              <w:ind w:left="2" w:leftChars="1" w:firstLine="31" w:firstLineChars="13"/>
              <w:rPr>
                <w:rFonts w:hint="eastAsia" w:ascii="宋体" w:hAnsi="宋体" w:eastAsia="宋体" w:cs="宋体"/>
                <w:kern w:val="0"/>
                <w:sz w:val="24"/>
                <w:highlight w:val="none"/>
              </w:rPr>
            </w:pPr>
          </w:p>
        </w:tc>
        <w:tc>
          <w:tcPr>
            <w:tcW w:w="1298" w:type="dxa"/>
            <w:tcBorders>
              <w:top w:val="nil"/>
              <w:left w:val="nil"/>
              <w:bottom w:val="single" w:color="auto" w:sz="4" w:space="0"/>
              <w:right w:val="single" w:color="auto" w:sz="4" w:space="0"/>
            </w:tcBorders>
            <w:vAlign w:val="center"/>
          </w:tcPr>
          <w:p w14:paraId="211A7DA7">
            <w:pPr>
              <w:widowControl/>
              <w:adjustRightInd w:val="0"/>
              <w:snapToGrid w:val="0"/>
              <w:rPr>
                <w:rFonts w:hint="eastAsia" w:ascii="宋体" w:hAnsi="宋体" w:eastAsia="宋体" w:cs="宋体"/>
                <w:kern w:val="0"/>
                <w:sz w:val="24"/>
                <w:highlight w:val="none"/>
              </w:rPr>
            </w:pPr>
          </w:p>
        </w:tc>
        <w:tc>
          <w:tcPr>
            <w:tcW w:w="1259" w:type="dxa"/>
            <w:tcBorders>
              <w:top w:val="nil"/>
              <w:left w:val="nil"/>
              <w:bottom w:val="single" w:color="auto" w:sz="4" w:space="0"/>
              <w:right w:val="single" w:color="auto" w:sz="4" w:space="0"/>
            </w:tcBorders>
            <w:vAlign w:val="center"/>
          </w:tcPr>
          <w:p w14:paraId="61642465">
            <w:pPr>
              <w:widowControl/>
              <w:adjustRightInd w:val="0"/>
              <w:snapToGrid w:val="0"/>
              <w:rPr>
                <w:rFonts w:hint="eastAsia" w:ascii="宋体" w:hAnsi="宋体" w:eastAsia="宋体" w:cs="宋体"/>
                <w:kern w:val="0"/>
                <w:sz w:val="24"/>
                <w:highlight w:val="none"/>
              </w:rPr>
            </w:pPr>
          </w:p>
        </w:tc>
      </w:tr>
    </w:tbl>
    <w:p w14:paraId="1F419035">
      <w:pPr>
        <w:rPr>
          <w:rFonts w:hint="eastAsia" w:ascii="宋体" w:hAnsi="宋体" w:eastAsia="宋体" w:cs="宋体"/>
          <w:b w:val="0"/>
          <w:color w:val="000000"/>
          <w:sz w:val="24"/>
          <w:szCs w:val="24"/>
          <w:highlight w:val="none"/>
        </w:rPr>
      </w:pPr>
      <w:r>
        <w:rPr>
          <w:rFonts w:hint="eastAsia" w:ascii="宋体" w:hAnsi="宋体" w:eastAsia="宋体" w:cs="宋体"/>
          <w:b w:val="0"/>
          <w:color w:val="000000"/>
          <w:sz w:val="24"/>
          <w:szCs w:val="24"/>
          <w:highlight w:val="none"/>
        </w:rPr>
        <w:br w:type="page"/>
      </w:r>
    </w:p>
    <w:p w14:paraId="69C2FBA9">
      <w:pPr>
        <w:pStyle w:val="17"/>
        <w:spacing w:line="360" w:lineRule="auto"/>
        <w:ind w:left="0" w:leftChars="0" w:firstLine="0"/>
        <w:jc w:val="left"/>
        <w:rPr>
          <w:rFonts w:hint="eastAsia" w:ascii="宋体" w:hAnsi="宋体" w:eastAsia="宋体" w:cs="宋体"/>
          <w:b w:val="0"/>
          <w:color w:val="000000"/>
          <w:sz w:val="24"/>
          <w:szCs w:val="24"/>
          <w:highlight w:val="none"/>
        </w:rPr>
      </w:pPr>
      <w:r>
        <w:rPr>
          <w:rFonts w:hint="eastAsia" w:ascii="宋体" w:hAnsi="宋体" w:eastAsia="宋体" w:cs="宋体"/>
          <w:b w:val="0"/>
          <w:color w:val="000000"/>
          <w:sz w:val="24"/>
          <w:szCs w:val="24"/>
          <w:highlight w:val="none"/>
        </w:rPr>
        <w:t xml:space="preserve">附件四   </w:t>
      </w:r>
    </w:p>
    <w:p w14:paraId="4727936D">
      <w:pPr>
        <w:pStyle w:val="17"/>
        <w:spacing w:line="360" w:lineRule="auto"/>
        <w:ind w:left="0" w:leftChars="0" w:firstLine="0"/>
        <w:rPr>
          <w:rFonts w:hint="eastAsia" w:ascii="宋体" w:hAnsi="宋体" w:eastAsia="宋体" w:cs="宋体"/>
          <w:b w:val="0"/>
          <w:color w:val="000000"/>
          <w:sz w:val="24"/>
          <w:szCs w:val="24"/>
          <w:highlight w:val="none"/>
        </w:rPr>
      </w:pPr>
      <w:r>
        <w:rPr>
          <w:rFonts w:hint="eastAsia" w:ascii="宋体" w:hAnsi="宋体" w:eastAsia="宋体" w:cs="宋体"/>
          <w:b w:val="0"/>
          <w:color w:val="000000"/>
          <w:sz w:val="24"/>
          <w:szCs w:val="24"/>
          <w:highlight w:val="none"/>
        </w:rPr>
        <w:t>四、投标书</w:t>
      </w:r>
    </w:p>
    <w:p w14:paraId="4FD9357C">
      <w:pPr>
        <w:spacing w:line="360" w:lineRule="auto"/>
        <w:ind w:firstLine="480" w:firstLineChars="200"/>
        <w:rPr>
          <w:rFonts w:hint="eastAsia" w:ascii="宋体" w:hAnsi="宋体" w:eastAsia="宋体" w:cs="宋体"/>
          <w:color w:val="000000"/>
          <w:sz w:val="24"/>
          <w:highlight w:val="none"/>
          <w:u w:val="single"/>
        </w:rPr>
      </w:pPr>
    </w:p>
    <w:p w14:paraId="514AC460">
      <w:pPr>
        <w:spacing w:line="360" w:lineRule="auto"/>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u w:val="single"/>
          <w:lang w:eastAsia="zh-CN"/>
        </w:rPr>
        <w:t>洪湖市人民医院</w:t>
      </w:r>
      <w:r>
        <w:rPr>
          <w:rFonts w:hint="eastAsia" w:ascii="宋体" w:hAnsi="宋体" w:eastAsia="宋体" w:cs="宋体"/>
          <w:color w:val="000000"/>
          <w:sz w:val="24"/>
          <w:highlight w:val="none"/>
          <w:u w:val="single"/>
        </w:rPr>
        <w:t>：</w:t>
      </w:r>
    </w:p>
    <w:p w14:paraId="1456CF88">
      <w:pPr>
        <w:spacing w:line="360" w:lineRule="auto"/>
        <w:rPr>
          <w:rFonts w:hint="eastAsia" w:ascii="宋体" w:hAnsi="宋体" w:eastAsia="宋体" w:cs="宋体"/>
          <w:color w:val="000000"/>
          <w:sz w:val="24"/>
          <w:highlight w:val="none"/>
        </w:rPr>
      </w:pP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（供应商全称）授权</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（供应商代表姓名）                （职务）为我方代表，参加贵单位组织的</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（项目名称）的招标活动，并对此项目进行投标。为此，</w:t>
      </w:r>
    </w:p>
    <w:p w14:paraId="451F2168">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1、我方将提供“磋商须知”中规定的全部资料，包括正本一份，副本</w:t>
      </w:r>
      <w:r>
        <w:rPr>
          <w:rFonts w:hint="eastAsia" w:ascii="宋体" w:hAnsi="宋体" w:cs="宋体"/>
          <w:color w:val="000000"/>
          <w:sz w:val="24"/>
          <w:highlight w:val="none"/>
          <w:lang w:eastAsia="zh-CN"/>
        </w:rPr>
        <w:t>一</w:t>
      </w:r>
      <w:r>
        <w:rPr>
          <w:rFonts w:hint="eastAsia" w:ascii="宋体" w:hAnsi="宋体" w:eastAsia="宋体" w:cs="宋体"/>
          <w:color w:val="000000"/>
          <w:sz w:val="24"/>
          <w:highlight w:val="none"/>
        </w:rPr>
        <w:t>份。</w:t>
      </w:r>
    </w:p>
    <w:p w14:paraId="3041AE7A">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2、我方将按磋商文件的规定履行合同责任和义务。</w:t>
      </w:r>
    </w:p>
    <w:p w14:paraId="668D7A1C">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3、我方已详细审查全部磋商文件及附件，对磋商件的全部条款无任何异议，承诺接受磋商文件的全部条款，并完全履行条款规定的责任。</w:t>
      </w:r>
    </w:p>
    <w:p w14:paraId="4903CB4F">
      <w:pPr>
        <w:spacing w:line="360" w:lineRule="auto"/>
        <w:jc w:val="left"/>
        <w:rPr>
          <w:rFonts w:hint="eastAsia" w:ascii="宋体" w:hAnsi="宋体" w:eastAsia="宋体" w:cs="宋体"/>
          <w:color w:val="000000"/>
          <w:sz w:val="24"/>
          <w:highlight w:val="none"/>
        </w:rPr>
      </w:pPr>
    </w:p>
    <w:p w14:paraId="454A2490">
      <w:pPr>
        <w:spacing w:line="360" w:lineRule="auto"/>
        <w:ind w:firstLine="435"/>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单位名称（公章）：   </w:t>
      </w:r>
    </w:p>
    <w:p w14:paraId="33C6BB87">
      <w:pPr>
        <w:spacing w:line="360" w:lineRule="auto"/>
        <w:ind w:firstLine="435"/>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法定代表人或其委托代理人(签字)：         </w:t>
      </w:r>
    </w:p>
    <w:p w14:paraId="0387F2D8">
      <w:pPr>
        <w:spacing w:line="360" w:lineRule="auto"/>
        <w:ind w:firstLine="435"/>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邮政编码：                                  </w:t>
      </w:r>
    </w:p>
    <w:p w14:paraId="20BB9781">
      <w:pPr>
        <w:spacing w:line="360" w:lineRule="auto"/>
        <w:ind w:firstLine="435"/>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电    话：                                  </w:t>
      </w:r>
    </w:p>
    <w:p w14:paraId="33493906">
      <w:pPr>
        <w:spacing w:line="360" w:lineRule="auto"/>
        <w:ind w:firstLine="435"/>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传    真： </w:t>
      </w:r>
    </w:p>
    <w:p w14:paraId="76080D2E">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电子邮箱：</w:t>
      </w:r>
    </w:p>
    <w:p w14:paraId="5C050A69">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日    期：</w:t>
      </w:r>
    </w:p>
    <w:p w14:paraId="1E910C53">
      <w:pPr>
        <w:rPr>
          <w:rFonts w:hint="eastAsia" w:ascii="宋体" w:hAnsi="宋体" w:eastAsia="宋体" w:cs="宋体"/>
          <w:sz w:val="24"/>
          <w:highlight w:val="none"/>
        </w:rPr>
      </w:pPr>
    </w:p>
    <w:p w14:paraId="10885D8C">
      <w:pPr>
        <w:spacing w:line="360" w:lineRule="auto"/>
        <w:rPr>
          <w:rFonts w:hint="eastAsia" w:ascii="宋体" w:hAnsi="宋体" w:eastAsia="宋体" w:cs="宋体"/>
          <w:color w:val="000000"/>
          <w:sz w:val="24"/>
          <w:highlight w:val="none"/>
        </w:rPr>
      </w:pPr>
      <w:r>
        <w:rPr>
          <w:rFonts w:hint="eastAsia" w:ascii="宋体" w:hAnsi="宋体" w:eastAsia="宋体" w:cs="宋体"/>
          <w:sz w:val="24"/>
          <w:highlight w:val="none"/>
        </w:rPr>
        <w:br w:type="page"/>
      </w:r>
    </w:p>
    <w:p w14:paraId="0205C6F4">
      <w:pPr>
        <w:spacing w:before="0" w:after="0" w:line="415" w:lineRule="auto"/>
        <w:outlineLvl w:val="9"/>
        <w:rPr>
          <w:rFonts w:hint="eastAsia" w:ascii="宋体" w:hAnsi="宋体" w:eastAsia="宋体" w:cs="宋体"/>
          <w:sz w:val="24"/>
          <w:szCs w:val="24"/>
          <w:highlight w:val="none"/>
        </w:rPr>
      </w:pPr>
      <w:bookmarkStart w:id="76" w:name="_Toc524078645"/>
      <w:bookmarkStart w:id="77" w:name="_Toc524200264"/>
      <w:r>
        <w:rPr>
          <w:rFonts w:hint="eastAsia" w:ascii="宋体" w:hAnsi="宋体" w:eastAsia="宋体" w:cs="宋体"/>
          <w:b w:val="0"/>
          <w:bCs w:val="0"/>
          <w:sz w:val="24"/>
          <w:szCs w:val="24"/>
          <w:highlight w:val="none"/>
        </w:rPr>
        <w:t>附件</w:t>
      </w:r>
      <w:bookmarkEnd w:id="76"/>
      <w:bookmarkEnd w:id="77"/>
      <w:r>
        <w:rPr>
          <w:rFonts w:hint="eastAsia" w:ascii="宋体" w:hAnsi="宋体" w:eastAsia="宋体" w:cs="宋体"/>
          <w:b w:val="0"/>
          <w:bCs w:val="0"/>
          <w:sz w:val="24"/>
          <w:szCs w:val="24"/>
          <w:highlight w:val="none"/>
        </w:rPr>
        <w:t>五</w:t>
      </w:r>
    </w:p>
    <w:p w14:paraId="28D1A7DE">
      <w:pPr>
        <w:spacing w:line="360" w:lineRule="auto"/>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五、法定代表人身份证明书</w:t>
      </w:r>
    </w:p>
    <w:p w14:paraId="06AD2A84">
      <w:pPr>
        <w:spacing w:line="360" w:lineRule="auto"/>
        <w:ind w:firstLine="480" w:firstLineChars="200"/>
        <w:rPr>
          <w:rFonts w:hint="eastAsia" w:ascii="宋体" w:hAnsi="宋体" w:eastAsia="宋体" w:cs="宋体"/>
          <w:sz w:val="24"/>
          <w:highlight w:val="none"/>
        </w:rPr>
      </w:pPr>
    </w:p>
    <w:p w14:paraId="1BC85C39">
      <w:pPr>
        <w:pStyle w:val="15"/>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我公司法定代表人</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参加贵单位组织的(项目名称：</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项目编号：</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）的采购活动，全权代表我公司处理有关事宜。</w:t>
      </w:r>
    </w:p>
    <w:p w14:paraId="30CF4997">
      <w:pPr>
        <w:spacing w:line="360" w:lineRule="auto"/>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供应商名称：</w:t>
      </w:r>
      <w:r>
        <w:rPr>
          <w:rFonts w:hint="eastAsia" w:ascii="宋体" w:hAnsi="宋体" w:eastAsia="宋体" w:cs="宋体"/>
          <w:color w:val="000000"/>
          <w:sz w:val="24"/>
          <w:highlight w:val="none"/>
          <w:u w:val="single"/>
        </w:rPr>
        <w:t xml:space="preserve">                                 </w:t>
      </w:r>
    </w:p>
    <w:p w14:paraId="14F56EC6">
      <w:pPr>
        <w:spacing w:line="360" w:lineRule="auto"/>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公司性质：</w:t>
      </w:r>
      <w:r>
        <w:rPr>
          <w:rFonts w:hint="eastAsia" w:ascii="宋体" w:hAnsi="宋体" w:eastAsia="宋体" w:cs="宋体"/>
          <w:color w:val="000000"/>
          <w:sz w:val="24"/>
          <w:highlight w:val="none"/>
          <w:u w:val="single"/>
        </w:rPr>
        <w:t xml:space="preserve">                                   </w:t>
      </w:r>
    </w:p>
    <w:p w14:paraId="2A773455">
      <w:pPr>
        <w:spacing w:line="360" w:lineRule="auto"/>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地址：</w:t>
      </w:r>
      <w:r>
        <w:rPr>
          <w:rFonts w:hint="eastAsia" w:ascii="宋体" w:hAnsi="宋体" w:eastAsia="宋体" w:cs="宋体"/>
          <w:color w:val="000000"/>
          <w:sz w:val="24"/>
          <w:highlight w:val="none"/>
          <w:u w:val="single"/>
        </w:rPr>
        <w:t xml:space="preserve">                                      </w:t>
      </w:r>
    </w:p>
    <w:p w14:paraId="427C9DE3">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成立时间：</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 xml:space="preserve"> 年</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月</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日</w:t>
      </w:r>
    </w:p>
    <w:p w14:paraId="7C739EDD">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经营期限</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 xml:space="preserve"> </w:t>
      </w:r>
    </w:p>
    <w:p w14:paraId="542567F6">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姓名：</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性别：</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年龄：</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 xml:space="preserve"> 职务：</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 xml:space="preserve">   </w:t>
      </w:r>
    </w:p>
    <w:p w14:paraId="45127564">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联系电话：</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邮箱：</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 xml:space="preserve"> </w:t>
      </w:r>
    </w:p>
    <w:p w14:paraId="0BB8BE93">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特此证明。</w:t>
      </w:r>
    </w:p>
    <w:p w14:paraId="00551028">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附：法定代表人第二代身份证正、反面扫描件</w:t>
      </w:r>
    </w:p>
    <w:p w14:paraId="24D9B420">
      <w:pPr>
        <w:spacing w:line="360" w:lineRule="auto"/>
        <w:ind w:firstLine="480" w:firstLineChars="200"/>
        <w:rPr>
          <w:rFonts w:hint="eastAsia" w:ascii="宋体" w:hAnsi="宋体" w:eastAsia="宋体" w:cs="宋体"/>
          <w:color w:val="000000"/>
          <w:sz w:val="24"/>
          <w:highlight w:val="none"/>
        </w:rPr>
      </w:pPr>
    </w:p>
    <w:p w14:paraId="2698D6A1">
      <w:pPr>
        <w:rPr>
          <w:rFonts w:hint="eastAsia" w:ascii="宋体" w:hAnsi="宋体" w:eastAsia="宋体" w:cs="宋体"/>
          <w:sz w:val="24"/>
          <w:highlight w:val="none"/>
        </w:rPr>
      </w:pPr>
      <w:r>
        <w:rPr>
          <w:rFonts w:hint="eastAsia" w:ascii="宋体" w:hAnsi="宋体" w:eastAsia="宋体" w:cs="宋体"/>
          <w:sz w:val="24"/>
          <w:highlight w:val="none"/>
        </w:rPr>
        <mc:AlternateContent>
          <mc:Choice Requires="wps">
            <w:drawing>
              <wp:anchor distT="0" distB="0" distL="114300" distR="114300" simplePos="0" relativeHeight="251664384" behindDoc="0" locked="0" layoutInCell="1" allowOverlap="1">
                <wp:simplePos x="0" y="0"/>
                <wp:positionH relativeFrom="column">
                  <wp:posOffset>-144145</wp:posOffset>
                </wp:positionH>
                <wp:positionV relativeFrom="paragraph">
                  <wp:posOffset>59690</wp:posOffset>
                </wp:positionV>
                <wp:extent cx="2589530" cy="1514475"/>
                <wp:effectExtent l="4445" t="5080" r="15875" b="4445"/>
                <wp:wrapNone/>
                <wp:docPr id="4" name="文本框 4"/>
                <wp:cNvGraphicFramePr/>
                <a:graphic xmlns:a="http://schemas.openxmlformats.org/drawingml/2006/main">
                  <a:graphicData uri="http://schemas.microsoft.com/office/word/2010/wordprocessingShape">
                    <wps:wsp>
                      <wps:cNvSpPr txBox="1"/>
                      <wps:spPr>
                        <a:xfrm>
                          <a:off x="0" y="0"/>
                          <a:ext cx="2589530" cy="15144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1DA7965">
                            <w:pPr>
                              <w:rPr>
                                <w:rFonts w:ascii="黑体" w:eastAsia="黑体"/>
                                <w:sz w:val="32"/>
                                <w:szCs w:val="32"/>
                              </w:rPr>
                            </w:pPr>
                          </w:p>
                          <w:p w14:paraId="35AE1A13">
                            <w:pPr>
                              <w:ind w:firstLine="320" w:firstLineChars="100"/>
                            </w:pPr>
                            <w:r>
                              <w:rPr>
                                <w:rFonts w:hint="eastAsia" w:ascii="黑体" w:eastAsia="黑体"/>
                                <w:sz w:val="32"/>
                                <w:szCs w:val="32"/>
                              </w:rPr>
                              <w:t xml:space="preserve">法定代表人身份证正面   </w:t>
                            </w:r>
                          </w:p>
                        </w:txbxContent>
                      </wps:txbx>
                      <wps:bodyPr upright="1"/>
                    </wps:wsp>
                  </a:graphicData>
                </a:graphic>
              </wp:anchor>
            </w:drawing>
          </mc:Choice>
          <mc:Fallback>
            <w:pict>
              <v:shape id="_x0000_s1026" o:spid="_x0000_s1026" o:spt="202" type="#_x0000_t202" style="position:absolute;left:0pt;margin-left:-11.35pt;margin-top:4.7pt;height:119.25pt;width:203.9pt;z-index:251664384;mso-width-relative:page;mso-height-relative:page;" fillcolor="#FFFFFF" filled="t" stroked="t" coordsize="21600,21600" o:gfxdata="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e007zNkAAAAJAQAADwAAAAAAAAABACAA&#10;AAAiAAAAZHJzL2Rvd25yZXYueG1sUEsBAhQAFAAAAAgAh07iQL6GPmEMAgAANwQAAA4AAAAAAAAA&#10;AQAgAAAAKAEAAGRycy9lMm9Eb2MueG1sUEsFBgAAAAAGAAYAWQEAAKYFAAAAAA==&#10;">
                <v:fill on="t" focussize="0,0"/>
                <v:stroke color="#000000" joinstyle="miter"/>
                <v:imagedata o:title=""/>
                <o:lock v:ext="edit" aspectratio="f"/>
                <v:textbox>
                  <w:txbxContent>
                    <w:p w14:paraId="71DA7965">
                      <w:pPr>
                        <w:rPr>
                          <w:rFonts w:ascii="黑体" w:eastAsia="黑体"/>
                          <w:sz w:val="32"/>
                          <w:szCs w:val="32"/>
                        </w:rPr>
                      </w:pPr>
                    </w:p>
                    <w:p w14:paraId="35AE1A13">
                      <w:pPr>
                        <w:ind w:firstLine="320" w:firstLineChars="100"/>
                      </w:pPr>
                      <w:r>
                        <w:rPr>
                          <w:rFonts w:hint="eastAsia" w:ascii="黑体" w:eastAsia="黑体"/>
                          <w:sz w:val="32"/>
                          <w:szCs w:val="32"/>
                        </w:rPr>
                        <w:t xml:space="preserve">法定代表人身份证正面   </w:t>
                      </w:r>
                    </w:p>
                  </w:txbxContent>
                </v:textbox>
              </v:shape>
            </w:pict>
          </mc:Fallback>
        </mc:AlternateContent>
      </w:r>
      <w:r>
        <w:rPr>
          <w:rFonts w:hint="eastAsia" w:ascii="宋体" w:hAnsi="宋体" w:eastAsia="宋体" w:cs="宋体"/>
          <w:sz w:val="24"/>
          <w:highlight w:val="none"/>
        </w:rPr>
        <mc:AlternateContent>
          <mc:Choice Requires="wps">
            <w:drawing>
              <wp:anchor distT="0" distB="0" distL="114300" distR="114300" simplePos="0" relativeHeight="251665408" behindDoc="0" locked="0" layoutInCell="1" allowOverlap="1">
                <wp:simplePos x="0" y="0"/>
                <wp:positionH relativeFrom="column">
                  <wp:posOffset>3037840</wp:posOffset>
                </wp:positionH>
                <wp:positionV relativeFrom="paragraph">
                  <wp:posOffset>60325</wp:posOffset>
                </wp:positionV>
                <wp:extent cx="2608580" cy="1503680"/>
                <wp:effectExtent l="4445" t="4445" r="15875" b="15875"/>
                <wp:wrapNone/>
                <wp:docPr id="5" name="文本框 5"/>
                <wp:cNvGraphicFramePr/>
                <a:graphic xmlns:a="http://schemas.openxmlformats.org/drawingml/2006/main">
                  <a:graphicData uri="http://schemas.microsoft.com/office/word/2010/wordprocessingShape">
                    <wps:wsp>
                      <wps:cNvSpPr txBox="1"/>
                      <wps:spPr>
                        <a:xfrm>
                          <a:off x="0" y="0"/>
                          <a:ext cx="2608580" cy="15036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9395964">
                            <w:pPr>
                              <w:rPr>
                                <w:rFonts w:ascii="黑体" w:eastAsia="黑体"/>
                                <w:sz w:val="32"/>
                                <w:szCs w:val="32"/>
                              </w:rPr>
                            </w:pPr>
                          </w:p>
                          <w:p w14:paraId="6B87F9FE">
                            <w:pPr>
                              <w:ind w:firstLine="320" w:firstLineChars="100"/>
                              <w:rPr>
                                <w:rFonts w:ascii="黑体" w:eastAsia="黑体"/>
                                <w:sz w:val="32"/>
                                <w:szCs w:val="32"/>
                              </w:rPr>
                            </w:pPr>
                            <w:r>
                              <w:rPr>
                                <w:rFonts w:hint="eastAsia" w:ascii="黑体" w:eastAsia="黑体"/>
                                <w:sz w:val="32"/>
                                <w:szCs w:val="32"/>
                              </w:rPr>
                              <w:t>法定代表人身份证反面</w:t>
                            </w:r>
                          </w:p>
                          <w:p w14:paraId="0DA34F56"/>
                        </w:txbxContent>
                      </wps:txbx>
                      <wps:bodyPr upright="1"/>
                    </wps:wsp>
                  </a:graphicData>
                </a:graphic>
              </wp:anchor>
            </w:drawing>
          </mc:Choice>
          <mc:Fallback>
            <w:pict>
              <v:shape id="_x0000_s1026" o:spid="_x0000_s1026" o:spt="202" type="#_x0000_t202" style="position:absolute;left:0pt;margin-left:239.2pt;margin-top:4.75pt;height:118.4pt;width:205.4pt;z-index:251665408;mso-width-relative:page;mso-height-relative:page;" fillcolor="#FFFFFF" filled="t" stroked="t" coordsize="21600,21600" o:gfxdata="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GXs6dvZAAAACQEAAA8AAAAAAAAAAQAgAAAA&#10;IgAAAGRycy9kb3ducmV2LnhtbFBLAQIUABQAAAAIAIdO4kAXsoRXCgIAADcEAAAOAAAAAAAAAAEA&#10;IAAAACgBAABkcnMvZTJvRG9jLnhtbFBLBQYAAAAABgAGAFkBAACkBQAAAAA=&#10;">
                <v:fill on="t" focussize="0,0"/>
                <v:stroke color="#000000" joinstyle="miter"/>
                <v:imagedata o:title=""/>
                <o:lock v:ext="edit" aspectratio="f"/>
                <v:textbox>
                  <w:txbxContent>
                    <w:p w14:paraId="39395964">
                      <w:pPr>
                        <w:rPr>
                          <w:rFonts w:ascii="黑体" w:eastAsia="黑体"/>
                          <w:sz w:val="32"/>
                          <w:szCs w:val="32"/>
                        </w:rPr>
                      </w:pPr>
                    </w:p>
                    <w:p w14:paraId="6B87F9FE">
                      <w:pPr>
                        <w:ind w:firstLine="320" w:firstLineChars="100"/>
                        <w:rPr>
                          <w:rFonts w:ascii="黑体" w:eastAsia="黑体"/>
                          <w:sz w:val="32"/>
                          <w:szCs w:val="32"/>
                        </w:rPr>
                      </w:pPr>
                      <w:r>
                        <w:rPr>
                          <w:rFonts w:hint="eastAsia" w:ascii="黑体" w:eastAsia="黑体"/>
                          <w:sz w:val="32"/>
                          <w:szCs w:val="32"/>
                        </w:rPr>
                        <w:t>法定代表人身份证反面</w:t>
                      </w:r>
                    </w:p>
                    <w:p w14:paraId="0DA34F56"/>
                  </w:txbxContent>
                </v:textbox>
              </v:shape>
            </w:pict>
          </mc:Fallback>
        </mc:AlternateContent>
      </w:r>
      <w:r>
        <w:rPr>
          <w:rFonts w:hint="eastAsia" w:ascii="宋体" w:hAnsi="宋体" w:eastAsia="宋体" w:cs="宋体"/>
          <w:sz w:val="24"/>
          <w:highlight w:val="none"/>
        </w:rPr>
        <w:t xml:space="preserve">  </w:t>
      </w:r>
    </w:p>
    <w:p w14:paraId="297BEA1F">
      <w:pPr>
        <w:spacing w:line="360" w:lineRule="auto"/>
        <w:rPr>
          <w:rFonts w:hint="eastAsia" w:ascii="宋体" w:hAnsi="宋体" w:eastAsia="宋体" w:cs="宋体"/>
          <w:color w:val="000000"/>
          <w:sz w:val="24"/>
          <w:highlight w:val="none"/>
        </w:rPr>
      </w:pPr>
    </w:p>
    <w:p w14:paraId="53580A88">
      <w:pPr>
        <w:spacing w:line="360" w:lineRule="auto"/>
        <w:rPr>
          <w:rFonts w:hint="eastAsia" w:ascii="宋体" w:hAnsi="宋体" w:eastAsia="宋体" w:cs="宋体"/>
          <w:color w:val="000000"/>
          <w:sz w:val="24"/>
          <w:highlight w:val="none"/>
        </w:rPr>
      </w:pPr>
    </w:p>
    <w:p w14:paraId="745D5298">
      <w:pPr>
        <w:spacing w:line="360" w:lineRule="auto"/>
        <w:rPr>
          <w:rFonts w:hint="eastAsia" w:ascii="宋体" w:hAnsi="宋体" w:eastAsia="宋体" w:cs="宋体"/>
          <w:color w:val="000000"/>
          <w:sz w:val="24"/>
          <w:highlight w:val="none"/>
        </w:rPr>
      </w:pPr>
    </w:p>
    <w:p w14:paraId="6DCA8521">
      <w:pPr>
        <w:spacing w:line="360" w:lineRule="auto"/>
        <w:rPr>
          <w:rFonts w:hint="eastAsia" w:ascii="宋体" w:hAnsi="宋体" w:eastAsia="宋体" w:cs="宋体"/>
          <w:color w:val="000000"/>
          <w:sz w:val="24"/>
          <w:highlight w:val="none"/>
        </w:rPr>
      </w:pPr>
    </w:p>
    <w:p w14:paraId="0D4269C2">
      <w:pPr>
        <w:spacing w:line="360" w:lineRule="auto"/>
        <w:rPr>
          <w:rFonts w:hint="eastAsia" w:ascii="宋体" w:hAnsi="宋体" w:eastAsia="宋体" w:cs="宋体"/>
          <w:color w:val="000000"/>
          <w:sz w:val="24"/>
          <w:highlight w:val="none"/>
        </w:rPr>
      </w:pPr>
    </w:p>
    <w:p w14:paraId="64F684F6">
      <w:pPr>
        <w:spacing w:line="360" w:lineRule="auto"/>
        <w:rPr>
          <w:rFonts w:hint="eastAsia" w:ascii="宋体" w:hAnsi="宋体" w:eastAsia="宋体" w:cs="宋体"/>
          <w:color w:val="000000"/>
          <w:sz w:val="24"/>
          <w:highlight w:val="none"/>
        </w:rPr>
      </w:pPr>
    </w:p>
    <w:p w14:paraId="2427524A">
      <w:pPr>
        <w:spacing w:line="360" w:lineRule="auto"/>
        <w:ind w:firstLine="5040" w:firstLineChars="2100"/>
        <w:rPr>
          <w:rFonts w:hint="eastAsia" w:ascii="宋体" w:hAnsi="宋体" w:eastAsia="宋体" w:cs="宋体"/>
          <w:color w:val="000000"/>
          <w:sz w:val="24"/>
          <w:highlight w:val="none"/>
        </w:rPr>
      </w:pPr>
      <w:r>
        <w:rPr>
          <w:rFonts w:hint="eastAsia" w:ascii="宋体" w:hAnsi="宋体" w:eastAsia="宋体" w:cs="宋体"/>
          <w:color w:val="000000"/>
          <w:sz w:val="24"/>
          <w:highlight w:val="none"/>
        </w:rPr>
        <w:t>供应商名称：</w:t>
      </w:r>
      <w:r>
        <w:rPr>
          <w:rFonts w:hint="eastAsia" w:ascii="宋体" w:hAnsi="宋体" w:eastAsia="宋体" w:cs="宋体"/>
          <w:color w:val="000000"/>
          <w:sz w:val="24"/>
          <w:highlight w:val="none"/>
          <w:u w:val="single"/>
        </w:rPr>
        <w:t xml:space="preserve">（盖章）       </w:t>
      </w:r>
    </w:p>
    <w:p w14:paraId="5C040652">
      <w:pPr>
        <w:spacing w:line="360" w:lineRule="auto"/>
        <w:rPr>
          <w:rFonts w:hint="eastAsia" w:ascii="宋体" w:hAnsi="宋体" w:eastAsia="宋体" w:cs="宋体"/>
          <w:color w:val="000000"/>
          <w:sz w:val="24"/>
          <w:highlight w:val="none"/>
        </w:rPr>
      </w:pPr>
    </w:p>
    <w:p w14:paraId="2F54B241">
      <w:pPr>
        <w:spacing w:line="360" w:lineRule="auto"/>
        <w:ind w:firstLine="5040" w:firstLineChars="2100"/>
        <w:rPr>
          <w:rFonts w:hint="eastAsia" w:ascii="宋体" w:hAnsi="宋体" w:eastAsia="宋体" w:cs="宋体"/>
          <w:color w:val="000000"/>
          <w:sz w:val="24"/>
          <w:highlight w:val="none"/>
        </w:rPr>
      </w:pPr>
      <w:r>
        <w:rPr>
          <w:rFonts w:hint="eastAsia" w:ascii="宋体" w:hAnsi="宋体" w:eastAsia="宋体" w:cs="宋体"/>
          <w:color w:val="000000"/>
          <w:sz w:val="24"/>
          <w:highlight w:val="none"/>
        </w:rPr>
        <w:t>法定代表人：</w:t>
      </w:r>
      <w:r>
        <w:rPr>
          <w:rFonts w:hint="eastAsia" w:ascii="宋体" w:hAnsi="宋体" w:eastAsia="宋体" w:cs="宋体"/>
          <w:color w:val="000000"/>
          <w:sz w:val="24"/>
          <w:highlight w:val="none"/>
          <w:u w:val="single"/>
        </w:rPr>
        <w:t xml:space="preserve">（签字）         </w:t>
      </w:r>
    </w:p>
    <w:p w14:paraId="5EF6F847">
      <w:pPr>
        <w:spacing w:line="360" w:lineRule="auto"/>
        <w:rPr>
          <w:rFonts w:hint="eastAsia" w:ascii="宋体" w:hAnsi="宋体" w:eastAsia="宋体" w:cs="宋体"/>
          <w:color w:val="000000"/>
          <w:sz w:val="24"/>
          <w:highlight w:val="none"/>
        </w:rPr>
      </w:pPr>
    </w:p>
    <w:p w14:paraId="138126C1">
      <w:pPr>
        <w:spacing w:line="360" w:lineRule="auto"/>
        <w:ind w:firstLine="5040" w:firstLineChars="2100"/>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日期： </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年</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月</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日</w:t>
      </w:r>
    </w:p>
    <w:p w14:paraId="11AFBA07">
      <w:pPr>
        <w:widowControl/>
        <w:jc w:val="left"/>
        <w:rPr>
          <w:rFonts w:hint="eastAsia" w:ascii="宋体" w:hAnsi="宋体" w:eastAsia="宋体" w:cs="宋体"/>
          <w:color w:val="000000"/>
          <w:sz w:val="24"/>
          <w:highlight w:val="none"/>
        </w:rPr>
      </w:pPr>
    </w:p>
    <w:p w14:paraId="699192FF">
      <w:pPr>
        <w:widowControl/>
        <w:jc w:val="left"/>
        <w:rPr>
          <w:rFonts w:hint="eastAsia" w:ascii="宋体" w:hAnsi="宋体" w:eastAsia="宋体" w:cs="宋体"/>
          <w:sz w:val="24"/>
          <w:highlight w:val="none"/>
        </w:rPr>
      </w:pPr>
      <w:r>
        <w:rPr>
          <w:rFonts w:hint="eastAsia" w:ascii="宋体" w:hAnsi="宋体" w:eastAsia="宋体" w:cs="宋体"/>
          <w:b/>
          <w:bCs/>
          <w:color w:val="000000"/>
          <w:sz w:val="24"/>
          <w:highlight w:val="none"/>
        </w:rPr>
        <w:t>注：另外须手持一份（不密封）递交磋商响应文件时，单独递交给采购人。</w:t>
      </w:r>
    </w:p>
    <w:p w14:paraId="2E059A38">
      <w:pPr>
        <w:spacing w:before="0" w:after="0" w:line="415" w:lineRule="auto"/>
        <w:outlineLvl w:val="9"/>
        <w:rPr>
          <w:rFonts w:hint="eastAsia" w:ascii="宋体" w:hAnsi="宋体" w:eastAsia="宋体" w:cs="宋体"/>
          <w:b w:val="0"/>
          <w:bCs w:val="0"/>
          <w:sz w:val="24"/>
          <w:szCs w:val="24"/>
          <w:highlight w:val="none"/>
        </w:rPr>
      </w:pPr>
      <w:bookmarkStart w:id="78" w:name="_Toc524200265"/>
      <w:bookmarkStart w:id="79" w:name="_Toc524078646"/>
      <w:r>
        <w:rPr>
          <w:rFonts w:hint="eastAsia" w:ascii="宋体" w:hAnsi="宋体" w:eastAsia="宋体" w:cs="宋体"/>
          <w:b w:val="0"/>
          <w:bCs w:val="0"/>
          <w:sz w:val="24"/>
          <w:szCs w:val="24"/>
          <w:highlight w:val="none"/>
        </w:rPr>
        <w:t>附件</w:t>
      </w:r>
      <w:bookmarkEnd w:id="78"/>
      <w:bookmarkEnd w:id="79"/>
      <w:r>
        <w:rPr>
          <w:rFonts w:hint="eastAsia" w:ascii="宋体" w:hAnsi="宋体" w:eastAsia="宋体" w:cs="宋体"/>
          <w:b w:val="0"/>
          <w:bCs w:val="0"/>
          <w:sz w:val="24"/>
          <w:szCs w:val="24"/>
          <w:highlight w:val="none"/>
        </w:rPr>
        <w:t>六</w:t>
      </w:r>
    </w:p>
    <w:p w14:paraId="7E9E5A53">
      <w:pPr>
        <w:spacing w:before="0" w:after="156" w:afterLines="50"/>
        <w:jc w:val="center"/>
        <w:outlineLvl w:val="9"/>
        <w:rPr>
          <w:rFonts w:hint="eastAsia" w:ascii="宋体" w:hAnsi="宋体" w:eastAsia="宋体" w:cs="宋体"/>
          <w:color w:val="000000"/>
          <w:sz w:val="24"/>
          <w:szCs w:val="24"/>
          <w:highlight w:val="none"/>
        </w:rPr>
      </w:pPr>
      <w:r>
        <w:rPr>
          <w:rFonts w:hint="eastAsia" w:ascii="宋体" w:hAnsi="宋体" w:eastAsia="宋体" w:cs="宋体"/>
          <w:b w:val="0"/>
          <w:bCs w:val="0"/>
          <w:color w:val="000000"/>
          <w:sz w:val="24"/>
          <w:szCs w:val="24"/>
          <w:highlight w:val="none"/>
        </w:rPr>
        <w:t>六、法定代表人授权委托书</w:t>
      </w:r>
    </w:p>
    <w:p w14:paraId="50CA6DDF">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本授权委托书申明：我 </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（姓名）系</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 xml:space="preserve">（供应商名称）的法定代表人，现授权委托我单位的 </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（姓名）参加贵院组织的(</w:t>
      </w:r>
      <w:r>
        <w:rPr>
          <w:rFonts w:hint="eastAsia" w:ascii="宋体" w:hAnsi="宋体" w:eastAsia="宋体" w:cs="宋体"/>
          <w:color w:val="000000"/>
          <w:sz w:val="24"/>
          <w:highlight w:val="none"/>
          <w:u w:val="single"/>
        </w:rPr>
        <w:t xml:space="preserve">项目名称：           项目编号：       ）                                                                     </w:t>
      </w:r>
      <w:r>
        <w:rPr>
          <w:rFonts w:hint="eastAsia" w:ascii="宋体" w:hAnsi="宋体" w:eastAsia="宋体" w:cs="宋体"/>
          <w:color w:val="000000"/>
          <w:sz w:val="24"/>
          <w:highlight w:val="none"/>
        </w:rPr>
        <w:t>采购活动，签署响应文件、进行合同谈判、签署合同和处理与之有关的一切事务，我均予以承认。本授权书自签署之日起生效，特此声明。</w:t>
      </w:r>
    </w:p>
    <w:p w14:paraId="5E20F57C">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委托代理人无转委权。</w:t>
      </w:r>
    </w:p>
    <w:p w14:paraId="32AF1DB9">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特此委托。</w:t>
      </w:r>
    </w:p>
    <w:p w14:paraId="1345C87B">
      <w:pPr>
        <w:spacing w:line="360" w:lineRule="auto"/>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代理人：</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性别：</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年龄</w:t>
      </w:r>
      <w:r>
        <w:rPr>
          <w:rFonts w:hint="eastAsia" w:ascii="宋体" w:hAnsi="宋体" w:eastAsia="宋体" w:cs="宋体"/>
          <w:color w:val="000000"/>
          <w:sz w:val="24"/>
          <w:highlight w:val="none"/>
          <w:u w:val="single"/>
        </w:rPr>
        <w:t xml:space="preserve">         </w:t>
      </w:r>
    </w:p>
    <w:p w14:paraId="2A036429">
      <w:pPr>
        <w:spacing w:line="360" w:lineRule="auto"/>
        <w:ind w:firstLine="480" w:firstLineChars="200"/>
        <w:rPr>
          <w:rFonts w:hint="eastAsia" w:ascii="宋体" w:hAnsi="宋体" w:eastAsia="宋体" w:cs="宋体"/>
          <w:color w:val="000000"/>
          <w:sz w:val="28"/>
          <w:szCs w:val="28"/>
          <w:highlight w:val="none"/>
          <w:u w:val="single"/>
        </w:rPr>
      </w:pPr>
      <w:r>
        <w:rPr>
          <w:rFonts w:hint="eastAsia" w:ascii="宋体" w:hAnsi="宋体" w:eastAsia="宋体" w:cs="宋体"/>
          <w:color w:val="000000"/>
          <w:sz w:val="24"/>
          <w:highlight w:val="none"/>
        </w:rPr>
        <w:t>部门：</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职务：</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联系方式</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邮箱：</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8"/>
          <w:szCs w:val="28"/>
          <w:highlight w:val="none"/>
          <w:u w:val="single"/>
        </w:rPr>
        <w:t xml:space="preserve">    </w:t>
      </w:r>
    </w:p>
    <w:p w14:paraId="1E53F1E6">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mc:AlternateContent>
          <mc:Choice Requires="wps">
            <w:drawing>
              <wp:anchor distT="0" distB="0" distL="114300" distR="114300" simplePos="0" relativeHeight="251662336" behindDoc="0" locked="0" layoutInCell="1" allowOverlap="1">
                <wp:simplePos x="0" y="0"/>
                <wp:positionH relativeFrom="column">
                  <wp:posOffset>2639060</wp:posOffset>
                </wp:positionH>
                <wp:positionV relativeFrom="paragraph">
                  <wp:posOffset>131445</wp:posOffset>
                </wp:positionV>
                <wp:extent cx="2516505" cy="1403985"/>
                <wp:effectExtent l="4445" t="4445" r="12700" b="20320"/>
                <wp:wrapNone/>
                <wp:docPr id="1" name="文本框 1"/>
                <wp:cNvGraphicFramePr/>
                <a:graphic xmlns:a="http://schemas.openxmlformats.org/drawingml/2006/main">
                  <a:graphicData uri="http://schemas.microsoft.com/office/word/2010/wordprocessingShape">
                    <wps:wsp>
                      <wps:cNvSpPr txBox="1"/>
                      <wps:spPr>
                        <a:xfrm>
                          <a:off x="0" y="0"/>
                          <a:ext cx="2857500" cy="19050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54025A9">
                            <w:pPr>
                              <w:spacing w:line="560" w:lineRule="exact"/>
                              <w:rPr>
                                <w:rFonts w:ascii="黑体" w:eastAsia="黑体"/>
                                <w:sz w:val="28"/>
                                <w:szCs w:val="28"/>
                              </w:rPr>
                            </w:pPr>
                          </w:p>
                          <w:p w14:paraId="2B4D686F">
                            <w:pPr>
                              <w:jc w:val="center"/>
                              <w:rPr>
                                <w:rFonts w:ascii="黑体" w:eastAsia="黑体"/>
                                <w:sz w:val="32"/>
                                <w:szCs w:val="32"/>
                              </w:rPr>
                            </w:pPr>
                            <w:r>
                              <w:rPr>
                                <w:rFonts w:hint="eastAsia" w:ascii="黑体" w:eastAsia="黑体"/>
                                <w:sz w:val="32"/>
                                <w:szCs w:val="32"/>
                              </w:rPr>
                              <w:t>委托代理人身份证正面</w:t>
                            </w:r>
                          </w:p>
                          <w:p w14:paraId="2F5A0E9D">
                            <w:pPr>
                              <w:spacing w:line="560" w:lineRule="exact"/>
                              <w:rPr>
                                <w:rFonts w:ascii="黑体" w:eastAsia="黑体"/>
                                <w:sz w:val="28"/>
                                <w:szCs w:val="28"/>
                              </w:rPr>
                            </w:pPr>
                          </w:p>
                        </w:txbxContent>
                      </wps:txbx>
                      <wps:bodyPr upright="1"/>
                    </wps:wsp>
                  </a:graphicData>
                </a:graphic>
              </wp:anchor>
            </w:drawing>
          </mc:Choice>
          <mc:Fallback>
            <w:pict>
              <v:shape id="_x0000_s1026" o:spid="_x0000_s1026" o:spt="202" type="#_x0000_t202" style="position:absolute;left:0pt;margin-left:207.8pt;margin-top:10.35pt;height:110.55pt;width:198.15pt;z-index:251662336;mso-width-relative:page;mso-height-relative:page;" fillcolor="#FFFFFF" filled="t" stroked="t" coordsize="21600,21600" o:gfxdata="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PnyuodkAAAAKAQAADwAAAAAA&#10;AAABACAAAAAiAAAAZHJzL2Rvd25yZXYueG1sUEsBAhQAFAAAAAgAh07iQDF6EVMSAgAARQQAAA4A&#10;AAAAAAAAAQAgAAAAKAEAAGRycy9lMm9Eb2MueG1sUEsFBgAAAAAGAAYAWQEAAKwFAAAAAA==&#10;">
                <v:fill on="t" focussize="0,0"/>
                <v:stroke color="#000000" joinstyle="miter"/>
                <v:imagedata o:title=""/>
                <o:lock v:ext="edit" aspectratio="f"/>
                <v:textbox>
                  <w:txbxContent>
                    <w:p w14:paraId="354025A9">
                      <w:pPr>
                        <w:spacing w:line="560" w:lineRule="exact"/>
                        <w:rPr>
                          <w:rFonts w:ascii="黑体" w:eastAsia="黑体"/>
                          <w:sz w:val="28"/>
                          <w:szCs w:val="28"/>
                        </w:rPr>
                      </w:pPr>
                    </w:p>
                    <w:p w14:paraId="2B4D686F">
                      <w:pPr>
                        <w:jc w:val="center"/>
                        <w:rPr>
                          <w:rFonts w:ascii="黑体" w:eastAsia="黑体"/>
                          <w:sz w:val="32"/>
                          <w:szCs w:val="32"/>
                        </w:rPr>
                      </w:pPr>
                      <w:r>
                        <w:rPr>
                          <w:rFonts w:hint="eastAsia" w:ascii="黑体" w:eastAsia="黑体"/>
                          <w:sz w:val="32"/>
                          <w:szCs w:val="32"/>
                        </w:rPr>
                        <w:t>委托代理人身份证正面</w:t>
                      </w:r>
                    </w:p>
                    <w:p w14:paraId="2F5A0E9D">
                      <w:pPr>
                        <w:spacing w:line="560" w:lineRule="exact"/>
                        <w:rPr>
                          <w:rFonts w:ascii="黑体" w:eastAsia="黑体"/>
                          <w:sz w:val="28"/>
                          <w:szCs w:val="28"/>
                        </w:rPr>
                      </w:pPr>
                    </w:p>
                  </w:txbxContent>
                </v:textbox>
              </v:shape>
            </w:pict>
          </mc:Fallback>
        </mc:AlternateContent>
      </w:r>
      <w:r>
        <w:rPr>
          <w:rFonts w:hint="eastAsia" w:ascii="宋体" w:hAnsi="宋体" w:eastAsia="宋体" w:cs="宋体"/>
          <w:color w:val="000000"/>
          <w:sz w:val="24"/>
          <w:highlight w:val="none"/>
        </w:rPr>
        <mc:AlternateContent>
          <mc:Choice Requires="wps">
            <w:drawing>
              <wp:anchor distT="0" distB="0" distL="114300" distR="114300" simplePos="0" relativeHeight="251661312" behindDoc="0" locked="0" layoutInCell="1" allowOverlap="1">
                <wp:simplePos x="0" y="0"/>
                <wp:positionH relativeFrom="column">
                  <wp:posOffset>10160</wp:posOffset>
                </wp:positionH>
                <wp:positionV relativeFrom="paragraph">
                  <wp:posOffset>129540</wp:posOffset>
                </wp:positionV>
                <wp:extent cx="2508885" cy="1403985"/>
                <wp:effectExtent l="4445" t="4445" r="20320" b="20320"/>
                <wp:wrapNone/>
                <wp:docPr id="2" name="文本框 2"/>
                <wp:cNvGraphicFramePr/>
                <a:graphic xmlns:a="http://schemas.openxmlformats.org/drawingml/2006/main">
                  <a:graphicData uri="http://schemas.microsoft.com/office/word/2010/wordprocessingShape">
                    <wps:wsp>
                      <wps:cNvSpPr txBox="1"/>
                      <wps:spPr>
                        <a:xfrm>
                          <a:off x="0" y="0"/>
                          <a:ext cx="2857500" cy="19050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4930979">
                            <w:pPr>
                              <w:spacing w:line="560" w:lineRule="exact"/>
                              <w:rPr>
                                <w:rFonts w:ascii="黑体" w:eastAsia="黑体"/>
                                <w:sz w:val="28"/>
                                <w:szCs w:val="28"/>
                              </w:rPr>
                            </w:pPr>
                          </w:p>
                          <w:p w14:paraId="01AF9487">
                            <w:pPr>
                              <w:jc w:val="center"/>
                              <w:rPr>
                                <w:rFonts w:ascii="黑体" w:eastAsia="黑体"/>
                                <w:sz w:val="32"/>
                                <w:szCs w:val="32"/>
                              </w:rPr>
                            </w:pPr>
                            <w:r>
                              <w:rPr>
                                <w:rFonts w:hint="eastAsia" w:ascii="黑体" w:eastAsia="黑体"/>
                                <w:sz w:val="32"/>
                                <w:szCs w:val="32"/>
                              </w:rPr>
                              <w:t>法定代表人身份证正面</w:t>
                            </w:r>
                          </w:p>
                        </w:txbxContent>
                      </wps:txbx>
                      <wps:bodyPr upright="1"/>
                    </wps:wsp>
                  </a:graphicData>
                </a:graphic>
              </wp:anchor>
            </w:drawing>
          </mc:Choice>
          <mc:Fallback>
            <w:pict>
              <v:shape id="_x0000_s1026" o:spid="_x0000_s1026" o:spt="202" type="#_x0000_t202" style="position:absolute;left:0pt;margin-left:0.8pt;margin-top:10.2pt;height:110.55pt;width:197.55pt;z-index:251661312;mso-width-relative:page;mso-height-relative:page;" fillcolor="#FFFFFF" filled="t" stroked="t" coordsize="21600,21600" o:gfxdata="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K/wzTPXAAAACAEAAA8AAAAAAAAA&#10;AQAgAAAAIgAAAGRycy9kb3ducmV2LnhtbFBLAQIUABQAAAAIAIdO4kC6O4EyEgIAAEUEAAAOAAAA&#10;AAAAAAEAIAAAACYBAABkcnMvZTJvRG9jLnhtbFBLBQYAAAAABgAGAFkBAACqBQAAAAA=&#10;">
                <v:fill on="t" focussize="0,0"/>
                <v:stroke color="#000000" joinstyle="miter"/>
                <v:imagedata o:title=""/>
                <o:lock v:ext="edit" aspectratio="f"/>
                <v:textbox>
                  <w:txbxContent>
                    <w:p w14:paraId="54930979">
                      <w:pPr>
                        <w:spacing w:line="560" w:lineRule="exact"/>
                        <w:rPr>
                          <w:rFonts w:ascii="黑体" w:eastAsia="黑体"/>
                          <w:sz w:val="28"/>
                          <w:szCs w:val="28"/>
                        </w:rPr>
                      </w:pPr>
                    </w:p>
                    <w:p w14:paraId="01AF9487">
                      <w:pPr>
                        <w:jc w:val="center"/>
                        <w:rPr>
                          <w:rFonts w:ascii="黑体" w:eastAsia="黑体"/>
                          <w:sz w:val="32"/>
                          <w:szCs w:val="32"/>
                        </w:rPr>
                      </w:pPr>
                      <w:r>
                        <w:rPr>
                          <w:rFonts w:hint="eastAsia" w:ascii="黑体" w:eastAsia="黑体"/>
                          <w:sz w:val="32"/>
                          <w:szCs w:val="32"/>
                        </w:rPr>
                        <w:t>法定代表人身份证正面</w:t>
                      </w:r>
                    </w:p>
                  </w:txbxContent>
                </v:textbox>
              </v:shape>
            </w:pict>
          </mc:Fallback>
        </mc:AlternateContent>
      </w:r>
    </w:p>
    <w:p w14:paraId="3C9CE61A">
      <w:pPr>
        <w:spacing w:line="360" w:lineRule="auto"/>
        <w:ind w:firstLine="480" w:firstLineChars="200"/>
        <w:rPr>
          <w:rFonts w:hint="eastAsia" w:ascii="宋体" w:hAnsi="宋体" w:eastAsia="宋体" w:cs="宋体"/>
          <w:color w:val="000000"/>
          <w:sz w:val="24"/>
          <w:highlight w:val="none"/>
        </w:rPr>
      </w:pPr>
    </w:p>
    <w:p w14:paraId="5C8B7A2D">
      <w:pPr>
        <w:spacing w:line="360" w:lineRule="auto"/>
        <w:ind w:firstLine="480" w:firstLineChars="200"/>
        <w:rPr>
          <w:rFonts w:hint="eastAsia" w:ascii="宋体" w:hAnsi="宋体" w:eastAsia="宋体" w:cs="宋体"/>
          <w:color w:val="000000"/>
          <w:sz w:val="24"/>
          <w:highlight w:val="none"/>
        </w:rPr>
      </w:pPr>
    </w:p>
    <w:p w14:paraId="07BB86D1">
      <w:pPr>
        <w:spacing w:line="360" w:lineRule="auto"/>
        <w:ind w:firstLine="480" w:firstLineChars="200"/>
        <w:rPr>
          <w:rFonts w:hint="eastAsia" w:ascii="宋体" w:hAnsi="宋体" w:eastAsia="宋体" w:cs="宋体"/>
          <w:color w:val="000000"/>
          <w:sz w:val="24"/>
          <w:highlight w:val="none"/>
        </w:rPr>
      </w:pPr>
    </w:p>
    <w:p w14:paraId="1D1D9B70">
      <w:pPr>
        <w:spacing w:line="360" w:lineRule="auto"/>
        <w:ind w:firstLine="480" w:firstLineChars="200"/>
        <w:rPr>
          <w:rFonts w:hint="eastAsia" w:ascii="宋体" w:hAnsi="宋体" w:eastAsia="宋体" w:cs="宋体"/>
          <w:color w:val="000000"/>
          <w:sz w:val="24"/>
          <w:highlight w:val="none"/>
        </w:rPr>
      </w:pPr>
    </w:p>
    <w:p w14:paraId="28AC80E0">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mc:AlternateContent>
          <mc:Choice Requires="wps">
            <w:drawing>
              <wp:anchor distT="0" distB="0" distL="114300" distR="114300" simplePos="0" relativeHeight="251660288" behindDoc="0" locked="0" layoutInCell="1" allowOverlap="1">
                <wp:simplePos x="0" y="0"/>
                <wp:positionH relativeFrom="column">
                  <wp:posOffset>2644775</wp:posOffset>
                </wp:positionH>
                <wp:positionV relativeFrom="paragraph">
                  <wp:posOffset>231140</wp:posOffset>
                </wp:positionV>
                <wp:extent cx="2515235" cy="1390015"/>
                <wp:effectExtent l="4445" t="4445" r="13970" b="15240"/>
                <wp:wrapNone/>
                <wp:docPr id="3" name="文本框 3"/>
                <wp:cNvGraphicFramePr/>
                <a:graphic xmlns:a="http://schemas.openxmlformats.org/drawingml/2006/main">
                  <a:graphicData uri="http://schemas.microsoft.com/office/word/2010/wordprocessingShape">
                    <wps:wsp>
                      <wps:cNvSpPr txBox="1"/>
                      <wps:spPr>
                        <a:xfrm>
                          <a:off x="0" y="0"/>
                          <a:ext cx="2857500" cy="19050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AC14190">
                            <w:pPr>
                              <w:rPr>
                                <w:rFonts w:ascii="黑体" w:eastAsia="黑体"/>
                                <w:sz w:val="32"/>
                                <w:szCs w:val="32"/>
                              </w:rPr>
                            </w:pPr>
                          </w:p>
                          <w:p w14:paraId="5207807E">
                            <w:pPr>
                              <w:jc w:val="center"/>
                              <w:rPr>
                                <w:rFonts w:ascii="黑体" w:eastAsia="黑体"/>
                                <w:sz w:val="32"/>
                                <w:szCs w:val="32"/>
                              </w:rPr>
                            </w:pPr>
                            <w:r>
                              <w:rPr>
                                <w:rFonts w:hint="eastAsia" w:ascii="黑体" w:eastAsia="黑体"/>
                                <w:sz w:val="32"/>
                                <w:szCs w:val="32"/>
                              </w:rPr>
                              <w:t>委托代理人身份证反面</w:t>
                            </w:r>
                          </w:p>
                        </w:txbxContent>
                      </wps:txbx>
                      <wps:bodyPr upright="1"/>
                    </wps:wsp>
                  </a:graphicData>
                </a:graphic>
              </wp:anchor>
            </w:drawing>
          </mc:Choice>
          <mc:Fallback>
            <w:pict>
              <v:shape id="_x0000_s1026" o:spid="_x0000_s1026" o:spt="202" type="#_x0000_t202" style="position:absolute;left:0pt;margin-left:208.25pt;margin-top:18.2pt;height:109.45pt;width:198.05pt;z-index:251660288;mso-width-relative:page;mso-height-relative:page;" fillcolor="#FFFFFF" filled="t" stroked="t" coordsize="21600,21600" o:gfxdata="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CUZaUbZAAAACgEAAA8AAAAA&#10;AAAAAQAgAAAAIgAAAGRycy9kb3ducmV2LnhtbFBLAQIUABQAAAAIAIdO4kD8Bt6kEwIAAEUEAAAO&#10;AAAAAAAAAAEAIAAAACgBAABkcnMvZTJvRG9jLnhtbFBLBQYAAAAABgAGAFkBAACtBQAAAAA=&#10;">
                <v:fill on="t" focussize="0,0"/>
                <v:stroke color="#000000" joinstyle="miter"/>
                <v:imagedata o:title=""/>
                <o:lock v:ext="edit" aspectratio="f"/>
                <v:textbox>
                  <w:txbxContent>
                    <w:p w14:paraId="4AC14190">
                      <w:pPr>
                        <w:rPr>
                          <w:rFonts w:ascii="黑体" w:eastAsia="黑体"/>
                          <w:sz w:val="32"/>
                          <w:szCs w:val="32"/>
                        </w:rPr>
                      </w:pPr>
                    </w:p>
                    <w:p w14:paraId="5207807E">
                      <w:pPr>
                        <w:jc w:val="center"/>
                        <w:rPr>
                          <w:rFonts w:ascii="黑体" w:eastAsia="黑体"/>
                          <w:sz w:val="32"/>
                          <w:szCs w:val="32"/>
                        </w:rPr>
                      </w:pPr>
                      <w:r>
                        <w:rPr>
                          <w:rFonts w:hint="eastAsia" w:ascii="黑体" w:eastAsia="黑体"/>
                          <w:sz w:val="32"/>
                          <w:szCs w:val="32"/>
                        </w:rPr>
                        <w:t>委托代理人身份证反面</w:t>
                      </w:r>
                    </w:p>
                  </w:txbxContent>
                </v:textbox>
              </v:shape>
            </w:pict>
          </mc:Fallback>
        </mc:AlternateContent>
      </w:r>
      <w:r>
        <w:rPr>
          <w:rFonts w:hint="eastAsia" w:ascii="宋体" w:hAnsi="宋体" w:eastAsia="宋体" w:cs="宋体"/>
          <w:color w:val="000000"/>
          <w:sz w:val="24"/>
          <w:highlight w:val="none"/>
        </w:rPr>
        <mc:AlternateContent>
          <mc:Choice Requires="wps">
            <w:drawing>
              <wp:anchor distT="0" distB="0" distL="114300" distR="114300" simplePos="0" relativeHeight="251663360" behindDoc="0" locked="0" layoutInCell="1" allowOverlap="1">
                <wp:simplePos x="0" y="0"/>
                <wp:positionH relativeFrom="column">
                  <wp:posOffset>11430</wp:posOffset>
                </wp:positionH>
                <wp:positionV relativeFrom="paragraph">
                  <wp:posOffset>241300</wp:posOffset>
                </wp:positionV>
                <wp:extent cx="2515235" cy="1390015"/>
                <wp:effectExtent l="4445" t="4445" r="13970" b="15240"/>
                <wp:wrapNone/>
                <wp:docPr id="6" name="文本框 6"/>
                <wp:cNvGraphicFramePr/>
                <a:graphic xmlns:a="http://schemas.openxmlformats.org/drawingml/2006/main">
                  <a:graphicData uri="http://schemas.microsoft.com/office/word/2010/wordprocessingShape">
                    <wps:wsp>
                      <wps:cNvSpPr txBox="1"/>
                      <wps:spPr>
                        <a:xfrm>
                          <a:off x="0" y="0"/>
                          <a:ext cx="2857500" cy="19050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92E9BC1">
                            <w:pPr>
                              <w:rPr>
                                <w:rFonts w:ascii="黑体" w:eastAsia="黑体"/>
                                <w:sz w:val="32"/>
                                <w:szCs w:val="32"/>
                              </w:rPr>
                            </w:pPr>
                          </w:p>
                          <w:p w14:paraId="5D8C2B95">
                            <w:pPr>
                              <w:jc w:val="center"/>
                              <w:rPr>
                                <w:rFonts w:ascii="黑体" w:eastAsia="黑体"/>
                                <w:sz w:val="32"/>
                                <w:szCs w:val="32"/>
                              </w:rPr>
                            </w:pPr>
                            <w:r>
                              <w:rPr>
                                <w:rFonts w:hint="eastAsia" w:ascii="黑体" w:eastAsia="黑体"/>
                                <w:sz w:val="32"/>
                                <w:szCs w:val="32"/>
                              </w:rPr>
                              <w:t>法定代表人身份证反面</w:t>
                            </w:r>
                          </w:p>
                        </w:txbxContent>
                      </wps:txbx>
                      <wps:bodyPr upright="1"/>
                    </wps:wsp>
                  </a:graphicData>
                </a:graphic>
              </wp:anchor>
            </w:drawing>
          </mc:Choice>
          <mc:Fallback>
            <w:pict>
              <v:shape id="_x0000_s1026" o:spid="_x0000_s1026" o:spt="202" type="#_x0000_t202" style="position:absolute;left:0pt;margin-left:0.9pt;margin-top:19pt;height:109.45pt;width:198.05pt;z-index:251663360;mso-width-relative:page;mso-height-relative:page;" fillcolor="#FFFFFF" filled="t" stroked="t" coordsize="21600,21600" o:gfxdata="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K8UUy1wAAAAgBAAAPAAAAAAAA&#10;AAEAIAAAACIAAABkcnMvZG93bnJldi54bWxQSwECFAAUAAAACACHTuJAYcRuBhMCAABFBAAADgAA&#10;AAAAAAABACAAAAAmAQAAZHJzL2Uyb0RvYy54bWxQSwUGAAAAAAYABgBZAQAAqwUAAAAA&#10;">
                <v:fill on="t" focussize="0,0"/>
                <v:stroke color="#000000" joinstyle="miter"/>
                <v:imagedata o:title=""/>
                <o:lock v:ext="edit" aspectratio="f"/>
                <v:textbox>
                  <w:txbxContent>
                    <w:p w14:paraId="392E9BC1">
                      <w:pPr>
                        <w:rPr>
                          <w:rFonts w:ascii="黑体" w:eastAsia="黑体"/>
                          <w:sz w:val="32"/>
                          <w:szCs w:val="32"/>
                        </w:rPr>
                      </w:pPr>
                    </w:p>
                    <w:p w14:paraId="5D8C2B95">
                      <w:pPr>
                        <w:jc w:val="center"/>
                        <w:rPr>
                          <w:rFonts w:ascii="黑体" w:eastAsia="黑体"/>
                          <w:sz w:val="32"/>
                          <w:szCs w:val="32"/>
                        </w:rPr>
                      </w:pPr>
                      <w:r>
                        <w:rPr>
                          <w:rFonts w:hint="eastAsia" w:ascii="黑体" w:eastAsia="黑体"/>
                          <w:sz w:val="32"/>
                          <w:szCs w:val="32"/>
                        </w:rPr>
                        <w:t>法定代表人身份证反面</w:t>
                      </w:r>
                    </w:p>
                  </w:txbxContent>
                </v:textbox>
              </v:shape>
            </w:pict>
          </mc:Fallback>
        </mc:AlternateContent>
      </w:r>
    </w:p>
    <w:p w14:paraId="6A7BC4C5">
      <w:pPr>
        <w:spacing w:line="360" w:lineRule="auto"/>
        <w:ind w:firstLine="480" w:firstLineChars="200"/>
        <w:rPr>
          <w:rFonts w:hint="eastAsia" w:ascii="宋体" w:hAnsi="宋体" w:eastAsia="宋体" w:cs="宋体"/>
          <w:color w:val="000000"/>
          <w:sz w:val="24"/>
          <w:highlight w:val="none"/>
        </w:rPr>
      </w:pPr>
    </w:p>
    <w:p w14:paraId="53286C0A">
      <w:pPr>
        <w:spacing w:line="360" w:lineRule="auto"/>
        <w:ind w:firstLine="5640" w:firstLineChars="2350"/>
        <w:rPr>
          <w:rFonts w:hint="eastAsia" w:ascii="宋体" w:hAnsi="宋体" w:eastAsia="宋体" w:cs="宋体"/>
          <w:color w:val="000000"/>
          <w:sz w:val="24"/>
          <w:highlight w:val="none"/>
        </w:rPr>
      </w:pPr>
    </w:p>
    <w:p w14:paraId="0262A0F5">
      <w:pPr>
        <w:spacing w:line="360" w:lineRule="auto"/>
        <w:ind w:firstLine="5640" w:firstLineChars="2350"/>
        <w:rPr>
          <w:rFonts w:hint="eastAsia" w:ascii="宋体" w:hAnsi="宋体" w:eastAsia="宋体" w:cs="宋体"/>
          <w:color w:val="000000"/>
          <w:sz w:val="24"/>
          <w:highlight w:val="none"/>
        </w:rPr>
      </w:pPr>
    </w:p>
    <w:p w14:paraId="4358F576">
      <w:pPr>
        <w:spacing w:line="360" w:lineRule="auto"/>
        <w:ind w:firstLine="5640" w:firstLineChars="2350"/>
        <w:rPr>
          <w:rFonts w:hint="eastAsia" w:ascii="宋体" w:hAnsi="宋体" w:eastAsia="宋体" w:cs="宋体"/>
          <w:color w:val="000000"/>
          <w:sz w:val="24"/>
          <w:highlight w:val="none"/>
        </w:rPr>
      </w:pPr>
    </w:p>
    <w:p w14:paraId="2A94138E">
      <w:pPr>
        <w:spacing w:line="360" w:lineRule="auto"/>
        <w:rPr>
          <w:rFonts w:hint="eastAsia" w:ascii="宋体" w:hAnsi="宋体" w:eastAsia="宋体" w:cs="宋体"/>
          <w:color w:val="000000"/>
          <w:sz w:val="24"/>
          <w:highlight w:val="none"/>
        </w:rPr>
      </w:pPr>
    </w:p>
    <w:p w14:paraId="0613CA64">
      <w:pPr>
        <w:spacing w:line="360" w:lineRule="auto"/>
        <w:ind w:firstLine="5040" w:firstLineChars="2100"/>
        <w:rPr>
          <w:rFonts w:hint="eastAsia" w:ascii="宋体" w:hAnsi="宋体" w:eastAsia="宋体" w:cs="宋体"/>
          <w:color w:val="000000"/>
          <w:sz w:val="24"/>
          <w:highlight w:val="none"/>
        </w:rPr>
      </w:pPr>
      <w:r>
        <w:rPr>
          <w:rFonts w:hint="eastAsia" w:ascii="宋体" w:hAnsi="宋体" w:eastAsia="宋体" w:cs="宋体"/>
          <w:color w:val="000000"/>
          <w:sz w:val="24"/>
          <w:highlight w:val="none"/>
        </w:rPr>
        <w:t>供应商名称：</w:t>
      </w:r>
      <w:r>
        <w:rPr>
          <w:rFonts w:hint="eastAsia" w:ascii="宋体" w:hAnsi="宋体" w:eastAsia="宋体" w:cs="宋体"/>
          <w:color w:val="000000"/>
          <w:sz w:val="24"/>
          <w:highlight w:val="none"/>
          <w:u w:val="single"/>
        </w:rPr>
        <w:t xml:space="preserve">（盖章）       </w:t>
      </w:r>
    </w:p>
    <w:p w14:paraId="6AE56CA2">
      <w:pPr>
        <w:spacing w:line="360" w:lineRule="auto"/>
        <w:rPr>
          <w:rFonts w:hint="eastAsia" w:ascii="宋体" w:hAnsi="宋体" w:eastAsia="宋体" w:cs="宋体"/>
          <w:color w:val="000000"/>
          <w:sz w:val="24"/>
          <w:highlight w:val="none"/>
        </w:rPr>
      </w:pPr>
    </w:p>
    <w:p w14:paraId="05C583F6">
      <w:pPr>
        <w:spacing w:line="360" w:lineRule="auto"/>
        <w:ind w:firstLine="5040" w:firstLineChars="2100"/>
        <w:rPr>
          <w:rFonts w:hint="eastAsia" w:ascii="宋体" w:hAnsi="宋体" w:eastAsia="宋体" w:cs="宋体"/>
          <w:color w:val="000000"/>
          <w:sz w:val="24"/>
          <w:highlight w:val="none"/>
        </w:rPr>
      </w:pPr>
      <w:r>
        <w:rPr>
          <w:rFonts w:hint="eastAsia" w:ascii="宋体" w:hAnsi="宋体" w:eastAsia="宋体" w:cs="宋体"/>
          <w:color w:val="000000"/>
          <w:sz w:val="24"/>
          <w:highlight w:val="none"/>
        </w:rPr>
        <w:t>法定代表人：</w:t>
      </w:r>
      <w:r>
        <w:rPr>
          <w:rFonts w:hint="eastAsia" w:ascii="宋体" w:hAnsi="宋体" w:eastAsia="宋体" w:cs="宋体"/>
          <w:color w:val="000000"/>
          <w:sz w:val="24"/>
          <w:highlight w:val="none"/>
          <w:u w:val="single"/>
        </w:rPr>
        <w:t xml:space="preserve">（签字）         </w:t>
      </w:r>
    </w:p>
    <w:p w14:paraId="589A5789">
      <w:pPr>
        <w:spacing w:line="360" w:lineRule="auto"/>
        <w:rPr>
          <w:rFonts w:hint="eastAsia" w:ascii="宋体" w:hAnsi="宋体" w:eastAsia="宋体" w:cs="宋体"/>
          <w:color w:val="000000"/>
          <w:sz w:val="24"/>
          <w:highlight w:val="none"/>
        </w:rPr>
      </w:pPr>
    </w:p>
    <w:p w14:paraId="47C82D5E">
      <w:pPr>
        <w:spacing w:line="360" w:lineRule="auto"/>
        <w:ind w:firstLine="5040" w:firstLineChars="2100"/>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 日 期：</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年</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月</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日</w:t>
      </w:r>
    </w:p>
    <w:p w14:paraId="0A1E2369">
      <w:pPr>
        <w:widowControl/>
        <w:jc w:val="left"/>
        <w:rPr>
          <w:rFonts w:hint="eastAsia" w:ascii="宋体" w:hAnsi="宋体" w:eastAsia="宋体" w:cs="宋体"/>
          <w:color w:val="000000"/>
          <w:sz w:val="24"/>
          <w:highlight w:val="none"/>
        </w:rPr>
      </w:pPr>
    </w:p>
    <w:p w14:paraId="7D9D1024">
      <w:pPr>
        <w:widowControl/>
        <w:jc w:val="left"/>
        <w:rPr>
          <w:rFonts w:hint="eastAsia" w:ascii="宋体" w:hAnsi="宋体" w:eastAsia="宋体" w:cs="宋体"/>
          <w:color w:val="000000"/>
          <w:sz w:val="24"/>
          <w:highlight w:val="none"/>
        </w:rPr>
      </w:pPr>
      <w:r>
        <w:rPr>
          <w:rFonts w:hint="eastAsia" w:ascii="宋体" w:hAnsi="宋体" w:eastAsia="宋体" w:cs="宋体"/>
          <w:b/>
          <w:bCs/>
          <w:color w:val="000000"/>
          <w:sz w:val="24"/>
          <w:highlight w:val="none"/>
        </w:rPr>
        <w:t>注：另外须手持一份（不密封）递交磋商响应文件时，单独递交给采购人。</w:t>
      </w:r>
    </w:p>
    <w:p w14:paraId="210F0267">
      <w:pPr>
        <w:widowControl/>
        <w:jc w:val="left"/>
        <w:rPr>
          <w:rFonts w:hint="eastAsia" w:ascii="宋体" w:hAnsi="宋体" w:eastAsia="宋体" w:cs="宋体"/>
          <w:b/>
          <w:color w:val="000000"/>
          <w:szCs w:val="21"/>
          <w:highlight w:val="none"/>
        </w:rPr>
      </w:pPr>
      <w:r>
        <w:rPr>
          <w:rFonts w:hint="eastAsia" w:ascii="宋体" w:hAnsi="宋体" w:eastAsia="宋体" w:cs="宋体"/>
          <w:b/>
          <w:color w:val="000000"/>
          <w:szCs w:val="21"/>
          <w:highlight w:val="none"/>
        </w:rPr>
        <w:br w:type="page"/>
      </w:r>
    </w:p>
    <w:p w14:paraId="5436270D">
      <w:pPr>
        <w:spacing w:line="360" w:lineRule="auto"/>
        <w:rPr>
          <w:rFonts w:hint="eastAsia" w:ascii="宋体" w:hAnsi="宋体" w:eastAsia="宋体" w:cs="宋体"/>
          <w:bCs/>
          <w:sz w:val="24"/>
          <w:highlight w:val="none"/>
        </w:rPr>
      </w:pPr>
      <w:r>
        <w:rPr>
          <w:rFonts w:hint="eastAsia" w:ascii="宋体" w:hAnsi="宋体" w:eastAsia="宋体" w:cs="宋体"/>
          <w:bCs/>
          <w:sz w:val="24"/>
          <w:highlight w:val="none"/>
        </w:rPr>
        <w:t>附件七</w:t>
      </w:r>
    </w:p>
    <w:p w14:paraId="0F00DE80">
      <w:pPr>
        <w:spacing w:line="360" w:lineRule="auto"/>
        <w:jc w:val="center"/>
        <w:rPr>
          <w:rFonts w:hint="eastAsia" w:ascii="宋体" w:hAnsi="宋体" w:eastAsia="宋体" w:cs="宋体"/>
          <w:bCs/>
          <w:sz w:val="24"/>
          <w:highlight w:val="none"/>
        </w:rPr>
      </w:pPr>
      <w:r>
        <w:rPr>
          <w:rFonts w:hint="eastAsia" w:ascii="宋体" w:hAnsi="宋体" w:eastAsia="宋体" w:cs="宋体"/>
          <w:bCs/>
          <w:sz w:val="24"/>
          <w:highlight w:val="none"/>
        </w:rPr>
        <w:t>七、供应商资格声明</w:t>
      </w:r>
    </w:p>
    <w:p w14:paraId="07BEA099">
      <w:pPr>
        <w:pStyle w:val="7"/>
        <w:rPr>
          <w:rFonts w:hint="eastAsia" w:ascii="宋体" w:hAnsi="宋体" w:eastAsia="宋体" w:cs="宋体"/>
          <w:sz w:val="24"/>
          <w:highlight w:val="none"/>
        </w:rPr>
      </w:pPr>
    </w:p>
    <w:p w14:paraId="45FE3B40">
      <w:pPr>
        <w:spacing w:line="360" w:lineRule="auto"/>
        <w:ind w:left="1078" w:hanging="1077" w:hangingChars="449"/>
        <w:jc w:val="left"/>
        <w:rPr>
          <w:rFonts w:hint="eastAsia" w:ascii="宋体" w:hAnsi="宋体" w:eastAsia="宋体" w:cs="宋体"/>
          <w:sz w:val="24"/>
          <w:highlight w:val="none"/>
        </w:rPr>
      </w:pPr>
      <w:r>
        <w:rPr>
          <w:rFonts w:hint="eastAsia" w:ascii="宋体" w:hAnsi="宋体" w:eastAsia="宋体" w:cs="宋体"/>
          <w:sz w:val="24"/>
          <w:highlight w:val="none"/>
        </w:rPr>
        <w:t>1．名称及基本情况：</w:t>
      </w:r>
    </w:p>
    <w:p w14:paraId="081356D4">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（1）供应商：</w:t>
      </w:r>
      <w:r>
        <w:rPr>
          <w:rFonts w:hint="eastAsia" w:ascii="宋体" w:hAnsi="宋体" w:eastAsia="宋体" w:cs="宋体"/>
          <w:sz w:val="24"/>
          <w:highlight w:val="none"/>
          <w:u w:val="single"/>
        </w:rPr>
        <w:t xml:space="preserve">                  </w:t>
      </w:r>
    </w:p>
    <w:p w14:paraId="18EAC132">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（2）地址：</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xml:space="preserve">     邮编：</w:t>
      </w:r>
      <w:r>
        <w:rPr>
          <w:rFonts w:hint="eastAsia" w:ascii="宋体" w:hAnsi="宋体" w:eastAsia="宋体" w:cs="宋体"/>
          <w:sz w:val="24"/>
          <w:highlight w:val="none"/>
          <w:u w:val="single"/>
        </w:rPr>
        <w:t xml:space="preserve">                   </w:t>
      </w:r>
    </w:p>
    <w:p w14:paraId="397BA7DE">
      <w:pPr>
        <w:spacing w:line="360" w:lineRule="auto"/>
        <w:ind w:firstLine="840" w:firstLineChars="350"/>
        <w:rPr>
          <w:rFonts w:hint="eastAsia" w:ascii="宋体" w:hAnsi="宋体" w:eastAsia="宋体" w:cs="宋体"/>
          <w:sz w:val="24"/>
          <w:highlight w:val="none"/>
          <w:u w:val="single"/>
        </w:rPr>
      </w:pPr>
      <w:r>
        <w:rPr>
          <w:rFonts w:hint="eastAsia" w:ascii="宋体" w:hAnsi="宋体" w:eastAsia="宋体" w:cs="宋体"/>
          <w:sz w:val="24"/>
          <w:highlight w:val="none"/>
        </w:rPr>
        <w:t>电话：</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xml:space="preserve">     传真：</w:t>
      </w:r>
      <w:r>
        <w:rPr>
          <w:rFonts w:hint="eastAsia" w:ascii="宋体" w:hAnsi="宋体" w:eastAsia="宋体" w:cs="宋体"/>
          <w:sz w:val="24"/>
          <w:highlight w:val="none"/>
          <w:u w:val="single"/>
        </w:rPr>
        <w:t xml:space="preserve">                   </w:t>
      </w:r>
    </w:p>
    <w:p w14:paraId="7C26E9A3">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（3）成立或注册日期：</w:t>
      </w:r>
      <w:r>
        <w:rPr>
          <w:rFonts w:hint="eastAsia" w:ascii="宋体" w:hAnsi="宋体" w:eastAsia="宋体" w:cs="宋体"/>
          <w:sz w:val="24"/>
          <w:highlight w:val="none"/>
          <w:u w:val="single"/>
        </w:rPr>
        <w:t xml:space="preserve">                         </w:t>
      </w:r>
    </w:p>
    <w:p w14:paraId="67E2273F">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（4）单位性质：</w:t>
      </w:r>
      <w:r>
        <w:rPr>
          <w:rFonts w:hint="eastAsia" w:ascii="宋体" w:hAnsi="宋体" w:eastAsia="宋体" w:cs="宋体"/>
          <w:sz w:val="24"/>
          <w:highlight w:val="none"/>
          <w:u w:val="single"/>
        </w:rPr>
        <w:t xml:space="preserve">                               </w:t>
      </w:r>
    </w:p>
    <w:p w14:paraId="2D43DE76">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（5）法定代表人或主要负责人：</w:t>
      </w:r>
      <w:r>
        <w:rPr>
          <w:rFonts w:hint="eastAsia" w:ascii="宋体" w:hAnsi="宋体" w:eastAsia="宋体" w:cs="宋体"/>
          <w:sz w:val="24"/>
          <w:highlight w:val="none"/>
          <w:u w:val="single"/>
        </w:rPr>
        <w:t xml:space="preserve">                 </w:t>
      </w:r>
    </w:p>
    <w:p w14:paraId="4E06B8A7">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（6）员工人数：</w:t>
      </w:r>
      <w:r>
        <w:rPr>
          <w:rFonts w:hint="eastAsia" w:ascii="宋体" w:hAnsi="宋体" w:eastAsia="宋体" w:cs="宋体"/>
          <w:sz w:val="24"/>
          <w:highlight w:val="none"/>
          <w:u w:val="single"/>
        </w:rPr>
        <w:t xml:space="preserve">                               </w:t>
      </w:r>
    </w:p>
    <w:p w14:paraId="663EE52F">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（7）注册资本：</w:t>
      </w:r>
      <w:r>
        <w:rPr>
          <w:rFonts w:hint="eastAsia" w:ascii="宋体" w:hAnsi="宋体" w:eastAsia="宋体" w:cs="宋体"/>
          <w:sz w:val="24"/>
          <w:highlight w:val="none"/>
          <w:u w:val="single"/>
        </w:rPr>
        <w:t xml:space="preserve">                               </w:t>
      </w:r>
    </w:p>
    <w:p w14:paraId="4C643EDC">
      <w:pPr>
        <w:spacing w:line="360" w:lineRule="auto"/>
        <w:rPr>
          <w:rFonts w:hint="eastAsia" w:ascii="宋体" w:hAnsi="宋体" w:eastAsia="宋体" w:cs="宋体"/>
          <w:sz w:val="24"/>
          <w:highlight w:val="none"/>
        </w:rPr>
      </w:pPr>
      <w:r>
        <w:rPr>
          <w:rFonts w:hint="eastAsia" w:ascii="宋体" w:hAnsi="宋体" w:eastAsia="宋体" w:cs="宋体"/>
          <w:sz w:val="24"/>
          <w:highlight w:val="none"/>
        </w:rPr>
        <w:t xml:space="preserve">2．供应商认为需要声明的其它情况：                         </w:t>
      </w:r>
    </w:p>
    <w:p w14:paraId="314264DD">
      <w:pPr>
        <w:spacing w:line="360" w:lineRule="auto"/>
        <w:ind w:firstLine="475" w:firstLineChars="198"/>
        <w:rPr>
          <w:rFonts w:hint="eastAsia" w:ascii="宋体" w:hAnsi="宋体" w:eastAsia="宋体" w:cs="宋体"/>
          <w:sz w:val="24"/>
          <w:highlight w:val="none"/>
        </w:rPr>
      </w:pPr>
      <w:r>
        <w:rPr>
          <w:rFonts w:hint="eastAsia" w:ascii="宋体" w:hAnsi="宋体" w:eastAsia="宋体" w:cs="宋体"/>
          <w:sz w:val="24"/>
          <w:highlight w:val="none"/>
        </w:rPr>
        <w:t xml:space="preserve">兹证明上述声明是真实的、正确，并提供了全部能提供的资料和数据，同意按照采购人要求出示有关证明文件。                      </w:t>
      </w:r>
    </w:p>
    <w:p w14:paraId="104C4BBC">
      <w:pPr>
        <w:spacing w:line="360" w:lineRule="auto"/>
        <w:ind w:left="504" w:leftChars="240"/>
        <w:rPr>
          <w:rFonts w:hint="eastAsia" w:ascii="宋体" w:hAnsi="宋体" w:eastAsia="宋体" w:cs="宋体"/>
          <w:bCs/>
          <w:sz w:val="24"/>
          <w:highlight w:val="none"/>
        </w:rPr>
      </w:pPr>
      <w:r>
        <w:rPr>
          <w:rFonts w:hint="eastAsia" w:ascii="宋体" w:hAnsi="宋体" w:eastAsia="宋体" w:cs="宋体"/>
          <w:bCs/>
          <w:sz w:val="24"/>
          <w:highlight w:val="none"/>
        </w:rPr>
        <w:t>供应商（公章）：</w:t>
      </w:r>
      <w:r>
        <w:rPr>
          <w:rFonts w:hint="eastAsia" w:ascii="宋体" w:hAnsi="宋体" w:eastAsia="宋体" w:cs="宋体"/>
          <w:bCs/>
          <w:sz w:val="24"/>
          <w:highlight w:val="none"/>
          <w:u w:val="single"/>
        </w:rPr>
        <w:t xml:space="preserve">                      </w:t>
      </w:r>
    </w:p>
    <w:p w14:paraId="55673025">
      <w:pPr>
        <w:spacing w:line="360" w:lineRule="auto"/>
        <w:ind w:left="504" w:leftChars="240"/>
        <w:rPr>
          <w:rFonts w:hint="eastAsia" w:ascii="宋体" w:hAnsi="宋体" w:eastAsia="宋体" w:cs="宋体"/>
          <w:bCs/>
          <w:sz w:val="24"/>
          <w:highlight w:val="none"/>
        </w:rPr>
      </w:pPr>
      <w:r>
        <w:rPr>
          <w:rFonts w:hint="eastAsia" w:ascii="宋体" w:hAnsi="宋体" w:eastAsia="宋体" w:cs="宋体"/>
          <w:bCs/>
          <w:sz w:val="24"/>
          <w:highlight w:val="none"/>
        </w:rPr>
        <w:t>法定代表人（签字或盖章）：</w:t>
      </w:r>
      <w:r>
        <w:rPr>
          <w:rFonts w:hint="eastAsia" w:ascii="宋体" w:hAnsi="宋体" w:eastAsia="宋体" w:cs="宋体"/>
          <w:bCs/>
          <w:sz w:val="24"/>
          <w:highlight w:val="none"/>
          <w:u w:val="single"/>
        </w:rPr>
        <w:t xml:space="preserve">            </w:t>
      </w:r>
    </w:p>
    <w:p w14:paraId="4998C755">
      <w:pPr>
        <w:spacing w:line="360" w:lineRule="auto"/>
        <w:ind w:left="504" w:leftChars="240"/>
        <w:rPr>
          <w:rFonts w:hint="eastAsia" w:ascii="宋体" w:hAnsi="宋体" w:eastAsia="宋体" w:cs="宋体"/>
          <w:bCs/>
          <w:sz w:val="24"/>
          <w:highlight w:val="none"/>
        </w:rPr>
      </w:pPr>
      <w:r>
        <w:rPr>
          <w:rFonts w:hint="eastAsia" w:ascii="宋体" w:hAnsi="宋体" w:eastAsia="宋体" w:cs="宋体"/>
          <w:bCs/>
          <w:sz w:val="24"/>
          <w:highlight w:val="none"/>
        </w:rPr>
        <w:t>电    话：</w:t>
      </w:r>
      <w:r>
        <w:rPr>
          <w:rFonts w:hint="eastAsia" w:ascii="宋体" w:hAnsi="宋体" w:eastAsia="宋体" w:cs="宋体"/>
          <w:bCs/>
          <w:sz w:val="24"/>
          <w:highlight w:val="none"/>
          <w:u w:val="single"/>
        </w:rPr>
        <w:t xml:space="preserve">                    </w:t>
      </w:r>
    </w:p>
    <w:p w14:paraId="12BDBA6C">
      <w:pPr>
        <w:spacing w:line="360" w:lineRule="auto"/>
        <w:ind w:left="504" w:leftChars="240"/>
        <w:rPr>
          <w:rFonts w:hint="eastAsia" w:ascii="宋体" w:hAnsi="宋体" w:eastAsia="宋体" w:cs="宋体"/>
          <w:bCs/>
          <w:sz w:val="24"/>
          <w:highlight w:val="none"/>
          <w:u w:val="single"/>
        </w:rPr>
      </w:pPr>
      <w:r>
        <w:rPr>
          <w:rFonts w:hint="eastAsia" w:ascii="宋体" w:hAnsi="宋体" w:eastAsia="宋体" w:cs="宋体"/>
          <w:bCs/>
          <w:sz w:val="24"/>
          <w:highlight w:val="none"/>
        </w:rPr>
        <w:t>传    真：</w:t>
      </w:r>
      <w:r>
        <w:rPr>
          <w:rFonts w:hint="eastAsia" w:ascii="宋体" w:hAnsi="宋体" w:eastAsia="宋体" w:cs="宋体"/>
          <w:bCs/>
          <w:sz w:val="24"/>
          <w:highlight w:val="none"/>
          <w:u w:val="single"/>
        </w:rPr>
        <w:t xml:space="preserve">                    </w:t>
      </w:r>
    </w:p>
    <w:p w14:paraId="69024BDA">
      <w:pPr>
        <w:spacing w:line="360" w:lineRule="auto"/>
        <w:ind w:left="504" w:leftChars="240"/>
        <w:rPr>
          <w:rFonts w:hint="eastAsia" w:ascii="宋体" w:hAnsi="宋体" w:eastAsia="宋体" w:cs="宋体"/>
          <w:bCs/>
          <w:sz w:val="24"/>
          <w:highlight w:val="none"/>
        </w:rPr>
      </w:pPr>
      <w:r>
        <w:rPr>
          <w:rFonts w:hint="eastAsia" w:ascii="宋体" w:hAnsi="宋体" w:eastAsia="宋体" w:cs="宋体"/>
          <w:bCs/>
          <w:sz w:val="24"/>
          <w:highlight w:val="none"/>
        </w:rPr>
        <w:t>日    期：</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rPr>
        <w:t>年</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rPr>
        <w:t>月</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rPr>
        <w:t xml:space="preserve"> 日</w:t>
      </w:r>
    </w:p>
    <w:p w14:paraId="3F75630A">
      <w:pPr>
        <w:jc w:val="center"/>
        <w:rPr>
          <w:rFonts w:hint="eastAsia" w:ascii="宋体" w:hAnsi="宋体" w:eastAsia="宋体" w:cs="宋体"/>
          <w:bCs/>
          <w:color w:val="000000" w:themeColor="text1"/>
          <w:sz w:val="24"/>
          <w:highlight w:val="none"/>
          <w14:textFill>
            <w14:solidFill>
              <w14:schemeClr w14:val="tx1"/>
            </w14:solidFill>
          </w14:textFill>
        </w:rPr>
      </w:pPr>
    </w:p>
    <w:p w14:paraId="58D2BD04">
      <w:pPr>
        <w:jc w:val="center"/>
        <w:rPr>
          <w:rFonts w:hint="eastAsia" w:ascii="宋体" w:hAnsi="宋体" w:eastAsia="宋体" w:cs="宋体"/>
          <w:color w:val="000000" w:themeColor="text1"/>
          <w:sz w:val="24"/>
          <w:highlight w:val="none"/>
          <w14:textFill>
            <w14:solidFill>
              <w14:schemeClr w14:val="tx1"/>
            </w14:solidFill>
          </w14:textFill>
        </w:rPr>
      </w:pPr>
    </w:p>
    <w:p w14:paraId="16214957">
      <w:pPr>
        <w:jc w:val="center"/>
        <w:rPr>
          <w:rFonts w:hint="eastAsia" w:ascii="宋体" w:hAnsi="宋体" w:eastAsia="宋体" w:cs="宋体"/>
          <w:color w:val="000000" w:themeColor="text1"/>
          <w:sz w:val="24"/>
          <w:highlight w:val="none"/>
          <w14:textFill>
            <w14:solidFill>
              <w14:schemeClr w14:val="tx1"/>
            </w14:solidFill>
          </w14:textFill>
        </w:rPr>
      </w:pPr>
    </w:p>
    <w:p w14:paraId="6F663CD4">
      <w:pPr>
        <w:jc w:val="center"/>
        <w:rPr>
          <w:rFonts w:hint="eastAsia" w:ascii="宋体" w:hAnsi="宋体" w:eastAsia="宋体" w:cs="宋体"/>
          <w:color w:val="000000" w:themeColor="text1"/>
          <w:sz w:val="24"/>
          <w:highlight w:val="none"/>
          <w14:textFill>
            <w14:solidFill>
              <w14:schemeClr w14:val="tx1"/>
            </w14:solidFill>
          </w14:textFill>
        </w:rPr>
      </w:pPr>
    </w:p>
    <w:p w14:paraId="21CC122F">
      <w:pPr>
        <w:jc w:val="center"/>
        <w:rPr>
          <w:rFonts w:hint="eastAsia" w:ascii="宋体" w:hAnsi="宋体" w:eastAsia="宋体" w:cs="宋体"/>
          <w:color w:val="000000" w:themeColor="text1"/>
          <w:sz w:val="24"/>
          <w:highlight w:val="none"/>
          <w14:textFill>
            <w14:solidFill>
              <w14:schemeClr w14:val="tx1"/>
            </w14:solidFill>
          </w14:textFill>
        </w:rPr>
      </w:pPr>
    </w:p>
    <w:p w14:paraId="77BF0AC8">
      <w:pPr>
        <w:jc w:val="center"/>
        <w:rPr>
          <w:rFonts w:hint="eastAsia" w:ascii="宋体" w:hAnsi="宋体" w:eastAsia="宋体" w:cs="宋体"/>
          <w:color w:val="000000" w:themeColor="text1"/>
          <w:sz w:val="24"/>
          <w:highlight w:val="none"/>
          <w14:textFill>
            <w14:solidFill>
              <w14:schemeClr w14:val="tx1"/>
            </w14:solidFill>
          </w14:textFill>
        </w:rPr>
      </w:pPr>
    </w:p>
    <w:p w14:paraId="069C1DE1">
      <w:pPr>
        <w:jc w:val="center"/>
        <w:rPr>
          <w:rFonts w:hint="eastAsia" w:ascii="宋体" w:hAnsi="宋体" w:eastAsia="宋体" w:cs="宋体"/>
          <w:color w:val="000000" w:themeColor="text1"/>
          <w:sz w:val="24"/>
          <w:highlight w:val="none"/>
          <w14:textFill>
            <w14:solidFill>
              <w14:schemeClr w14:val="tx1"/>
            </w14:solidFill>
          </w14:textFill>
        </w:rPr>
      </w:pPr>
    </w:p>
    <w:p w14:paraId="0AC9DCE5">
      <w:pPr>
        <w:jc w:val="center"/>
        <w:rPr>
          <w:rFonts w:hint="eastAsia" w:ascii="宋体" w:hAnsi="宋体" w:eastAsia="宋体" w:cs="宋体"/>
          <w:color w:val="000000" w:themeColor="text1"/>
          <w:sz w:val="24"/>
          <w:highlight w:val="none"/>
          <w14:textFill>
            <w14:solidFill>
              <w14:schemeClr w14:val="tx1"/>
            </w14:solidFill>
          </w14:textFill>
        </w:rPr>
      </w:pPr>
    </w:p>
    <w:p w14:paraId="4D17E257">
      <w:pPr>
        <w:jc w:val="center"/>
        <w:rPr>
          <w:rFonts w:hint="eastAsia" w:ascii="宋体" w:hAnsi="宋体" w:eastAsia="宋体" w:cs="宋体"/>
          <w:color w:val="000000" w:themeColor="text1"/>
          <w:sz w:val="24"/>
          <w:highlight w:val="none"/>
          <w14:textFill>
            <w14:solidFill>
              <w14:schemeClr w14:val="tx1"/>
            </w14:solidFill>
          </w14:textFill>
        </w:rPr>
      </w:pPr>
    </w:p>
    <w:p w14:paraId="489C5438">
      <w:pPr>
        <w:jc w:val="center"/>
        <w:rPr>
          <w:rFonts w:hint="eastAsia" w:ascii="宋体" w:hAnsi="宋体" w:eastAsia="宋体" w:cs="宋体"/>
          <w:color w:val="000000" w:themeColor="text1"/>
          <w:sz w:val="24"/>
          <w:highlight w:val="none"/>
          <w14:textFill>
            <w14:solidFill>
              <w14:schemeClr w14:val="tx1"/>
            </w14:solidFill>
          </w14:textFill>
        </w:rPr>
      </w:pPr>
    </w:p>
    <w:p w14:paraId="3787ED6C">
      <w:pPr>
        <w:jc w:val="center"/>
        <w:rPr>
          <w:rFonts w:hint="eastAsia" w:ascii="宋体" w:hAnsi="宋体" w:eastAsia="宋体" w:cs="宋体"/>
          <w:color w:val="000000" w:themeColor="text1"/>
          <w:sz w:val="24"/>
          <w:highlight w:val="none"/>
          <w14:textFill>
            <w14:solidFill>
              <w14:schemeClr w14:val="tx1"/>
            </w14:solidFill>
          </w14:textFill>
        </w:rPr>
      </w:pPr>
    </w:p>
    <w:p w14:paraId="52BFF2F2">
      <w:pPr>
        <w:jc w:val="center"/>
        <w:rPr>
          <w:rFonts w:hint="eastAsia" w:ascii="宋体" w:hAnsi="宋体" w:eastAsia="宋体" w:cs="宋体"/>
          <w:color w:val="000000" w:themeColor="text1"/>
          <w:sz w:val="24"/>
          <w:highlight w:val="none"/>
          <w14:textFill>
            <w14:solidFill>
              <w14:schemeClr w14:val="tx1"/>
            </w14:solidFill>
          </w14:textFill>
        </w:rPr>
      </w:pPr>
    </w:p>
    <w:p w14:paraId="533D21F3">
      <w:pPr>
        <w:jc w:val="center"/>
        <w:rPr>
          <w:rFonts w:hint="eastAsia" w:ascii="宋体" w:hAnsi="宋体" w:eastAsia="宋体" w:cs="宋体"/>
          <w:color w:val="000000" w:themeColor="text1"/>
          <w:sz w:val="24"/>
          <w:highlight w:val="none"/>
          <w14:textFill>
            <w14:solidFill>
              <w14:schemeClr w14:val="tx1"/>
            </w14:solidFill>
          </w14:textFill>
        </w:rPr>
      </w:pPr>
    </w:p>
    <w:p w14:paraId="5D4CC418">
      <w:pPr>
        <w:jc w:val="center"/>
        <w:rPr>
          <w:rFonts w:hint="eastAsia" w:ascii="宋体" w:hAnsi="宋体" w:eastAsia="宋体" w:cs="宋体"/>
          <w:color w:val="000000" w:themeColor="text1"/>
          <w:sz w:val="24"/>
          <w:highlight w:val="none"/>
          <w14:textFill>
            <w14:solidFill>
              <w14:schemeClr w14:val="tx1"/>
            </w14:solidFill>
          </w14:textFill>
        </w:rPr>
      </w:pPr>
    </w:p>
    <w:p w14:paraId="08CC34EA">
      <w:pPr>
        <w:jc w:val="center"/>
        <w:rPr>
          <w:rFonts w:hint="eastAsia" w:ascii="宋体" w:hAnsi="宋体" w:eastAsia="宋体" w:cs="宋体"/>
          <w:color w:val="000000" w:themeColor="text1"/>
          <w:sz w:val="24"/>
          <w:highlight w:val="none"/>
          <w14:textFill>
            <w14:solidFill>
              <w14:schemeClr w14:val="tx1"/>
            </w14:solidFill>
          </w14:textFill>
        </w:rPr>
      </w:pPr>
    </w:p>
    <w:p w14:paraId="0704FEF6">
      <w:pP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附件八</w:t>
      </w:r>
    </w:p>
    <w:p w14:paraId="570A12B4">
      <w:pPr>
        <w:jc w:val="center"/>
        <w:rPr>
          <w:rFonts w:hint="eastAsia" w:ascii="宋体" w:hAnsi="宋体" w:eastAsia="宋体" w:cs="宋体"/>
          <w:sz w:val="24"/>
          <w:highlight w:val="none"/>
        </w:rPr>
      </w:pPr>
      <w:r>
        <w:rPr>
          <w:rFonts w:hint="eastAsia" w:ascii="宋体" w:hAnsi="宋体" w:eastAsia="宋体" w:cs="宋体"/>
          <w:color w:val="000000" w:themeColor="text1"/>
          <w:sz w:val="24"/>
          <w:highlight w:val="none"/>
          <w14:textFill>
            <w14:solidFill>
              <w14:schemeClr w14:val="tx1"/>
            </w14:solidFill>
          </w14:textFill>
        </w:rPr>
        <w:t>八、</w:t>
      </w:r>
      <w:r>
        <w:rPr>
          <w:rFonts w:hint="eastAsia" w:ascii="宋体" w:hAnsi="宋体" w:eastAsia="宋体" w:cs="宋体"/>
          <w:sz w:val="24"/>
          <w:highlight w:val="none"/>
        </w:rPr>
        <w:t>廉洁承诺书</w:t>
      </w:r>
    </w:p>
    <w:p w14:paraId="086602E4">
      <w:pPr>
        <w:pStyle w:val="32"/>
        <w:spacing w:line="360" w:lineRule="auto"/>
        <w:ind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洪湖市人民医院</w:t>
      </w:r>
      <w:r>
        <w:rPr>
          <w:rFonts w:hint="eastAsia" w:ascii="宋体" w:hAnsi="宋体" w:eastAsia="宋体" w:cs="宋体"/>
          <w:sz w:val="24"/>
          <w:szCs w:val="24"/>
          <w:highlight w:val="none"/>
        </w:rPr>
        <w:t>：</w:t>
      </w:r>
    </w:p>
    <w:p w14:paraId="7CF41EF8">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为加强招标采购活动中的廉政建设，进一步规范招标采购活动，防止发生违法违纪行为，体现公开、公平、公正的原则，根据国家有关</w:t>
      </w: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"http://www.xuexila.com/zhishi/falv/" \t "_blank" </w:instrText>
      </w:r>
      <w:r>
        <w:rPr>
          <w:rFonts w:hint="eastAsia" w:ascii="宋体" w:hAnsi="宋体" w:eastAsia="宋体" w:cs="宋体"/>
          <w:highlight w:val="none"/>
        </w:rPr>
        <w:fldChar w:fldCharType="separate"/>
      </w:r>
      <w:r>
        <w:rPr>
          <w:rFonts w:hint="eastAsia" w:ascii="宋体" w:hAnsi="宋体" w:eastAsia="宋体" w:cs="宋体"/>
          <w:sz w:val="24"/>
          <w:highlight w:val="none"/>
        </w:rPr>
        <w:t>法律</w:t>
      </w:r>
      <w:r>
        <w:rPr>
          <w:rFonts w:hint="eastAsia" w:ascii="宋体" w:hAnsi="宋体" w:eastAsia="宋体" w:cs="宋体"/>
          <w:sz w:val="24"/>
          <w:highlight w:val="none"/>
        </w:rPr>
        <w:fldChar w:fldCharType="end"/>
      </w:r>
      <w:r>
        <w:rPr>
          <w:rFonts w:hint="eastAsia" w:ascii="宋体" w:hAnsi="宋体" w:eastAsia="宋体" w:cs="宋体"/>
          <w:sz w:val="24"/>
          <w:highlight w:val="none"/>
        </w:rPr>
        <w:t>、法规和廉政建设责任制的规定，本招标特作出如下承诺：</w:t>
      </w:r>
    </w:p>
    <w:p w14:paraId="7DA1D668">
      <w:pPr>
        <w:autoSpaceDE w:val="0"/>
        <w:autoSpaceDN w:val="0"/>
        <w:snapToGrid w:val="0"/>
        <w:spacing w:line="360" w:lineRule="auto"/>
        <w:ind w:firstLine="458" w:firstLineChars="191"/>
        <w:jc w:val="left"/>
        <w:rPr>
          <w:rFonts w:hint="eastAsia" w:ascii="宋体" w:hAnsi="宋体" w:eastAsia="宋体" w:cs="宋体"/>
          <w:sz w:val="24"/>
          <w:highlight w:val="none"/>
        </w:rPr>
      </w:pPr>
      <w:r>
        <w:rPr>
          <w:rFonts w:hint="eastAsia" w:ascii="宋体" w:hAnsi="宋体" w:eastAsia="宋体" w:cs="宋体"/>
          <w:sz w:val="24"/>
          <w:highlight w:val="none"/>
        </w:rPr>
        <w:t>一、我方在此郑重承诺，我方满足《中华人民共和国政府采购法》第二十二条的以下规定且无纳税、社保等方面失信记录：</w:t>
      </w:r>
    </w:p>
    <w:p w14:paraId="1A05DC0C">
      <w:pPr>
        <w:autoSpaceDE w:val="0"/>
        <w:autoSpaceDN w:val="0"/>
        <w:snapToGrid w:val="0"/>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 xml:space="preserve">1、具有良好的商业信誉和健全的财务会计制度； </w:t>
      </w:r>
    </w:p>
    <w:p w14:paraId="7A1A0A21">
      <w:pPr>
        <w:autoSpaceDE w:val="0"/>
        <w:autoSpaceDN w:val="0"/>
        <w:snapToGrid w:val="0"/>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 xml:space="preserve">2、具有履行合同所必需的设备和专业技术能力； </w:t>
      </w:r>
    </w:p>
    <w:p w14:paraId="4EAEF3C3">
      <w:pPr>
        <w:autoSpaceDE w:val="0"/>
        <w:autoSpaceDN w:val="0"/>
        <w:snapToGrid w:val="0"/>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 xml:space="preserve">3、有依法缴纳税收和社会保障资金的良好记录； </w:t>
      </w:r>
    </w:p>
    <w:p w14:paraId="5B7DE25F">
      <w:pPr>
        <w:autoSpaceDE w:val="0"/>
        <w:autoSpaceDN w:val="0"/>
        <w:snapToGrid w:val="0"/>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 xml:space="preserve">4、参加采购活动前三年内，在经营活动中没有重大违法记录； </w:t>
      </w:r>
    </w:p>
    <w:p w14:paraId="15DDD3F9">
      <w:pPr>
        <w:autoSpaceDE w:val="0"/>
        <w:autoSpaceDN w:val="0"/>
        <w:snapToGrid w:val="0"/>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5、法律、行政法规规定的其他条件。</w:t>
      </w:r>
    </w:p>
    <w:p w14:paraId="1FD125EF">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二、不与业主私下串通协商，进行围标、串标、抬标，控制价格；</w:t>
      </w:r>
    </w:p>
    <w:p w14:paraId="0A43CC74">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三、不向业主、评审成员行贿，以不正当手段谋取入库。</w:t>
      </w:r>
    </w:p>
    <w:p w14:paraId="019770EF">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四、不向监管人员请客、送礼及组织其它有可能影响客观公正监管的活动。</w:t>
      </w:r>
    </w:p>
    <w:p w14:paraId="715579D2">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五、自觉遵守开标、评标现场工作纪律，不私下接触评审成员，不干扰正常的开标评标秩序。</w:t>
      </w:r>
    </w:p>
    <w:p w14:paraId="67A678EE">
      <w:pPr>
        <w:autoSpaceDE w:val="0"/>
        <w:autoSpaceDN w:val="0"/>
        <w:snapToGrid w:val="0"/>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六、本招标代理机构若有幸承担贵单位的招标采购项目，不转包、分包，否则愿意承担相应责任及赔偿。</w:t>
      </w:r>
    </w:p>
    <w:p w14:paraId="74266C76">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我方在此声明，如出现上述行为，本招标代理机构自愿承担相关责任，接受相关部门或司法机关调查处理。</w:t>
      </w:r>
    </w:p>
    <w:p w14:paraId="23C97682">
      <w:pPr>
        <w:spacing w:line="360" w:lineRule="auto"/>
        <w:ind w:firstLine="3840" w:firstLineChars="1600"/>
        <w:rPr>
          <w:rFonts w:hint="eastAsia" w:ascii="宋体" w:hAnsi="宋体" w:eastAsia="宋体" w:cs="宋体"/>
          <w:color w:val="000000"/>
          <w:sz w:val="24"/>
          <w:highlight w:val="none"/>
        </w:rPr>
      </w:pPr>
    </w:p>
    <w:p w14:paraId="7650B140">
      <w:pPr>
        <w:spacing w:line="360" w:lineRule="auto"/>
        <w:ind w:firstLine="3840" w:firstLineChars="16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名称：</w:t>
      </w:r>
      <w:r>
        <w:rPr>
          <w:rFonts w:hint="eastAsia" w:ascii="宋体" w:hAnsi="宋体" w:eastAsia="宋体" w:cs="宋体"/>
          <w:color w:val="000000"/>
          <w:sz w:val="24"/>
          <w:highlight w:val="none"/>
          <w:u w:val="single"/>
        </w:rPr>
        <w:t xml:space="preserve">   （公章）    </w:t>
      </w:r>
    </w:p>
    <w:p w14:paraId="5F3F50F7">
      <w:pPr>
        <w:spacing w:line="360" w:lineRule="auto"/>
        <w:ind w:firstLine="3840" w:firstLineChars="16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法定代表人或法定代表人授权代表：</w:t>
      </w:r>
      <w:r>
        <w:rPr>
          <w:rFonts w:hint="eastAsia" w:ascii="宋体" w:hAnsi="宋体" w:eastAsia="宋体" w:cs="宋体"/>
          <w:color w:val="000000"/>
          <w:sz w:val="24"/>
          <w:highlight w:val="none"/>
          <w:u w:val="single"/>
        </w:rPr>
        <w:t xml:space="preserve">（签字）           </w:t>
      </w:r>
    </w:p>
    <w:p w14:paraId="6CB98881">
      <w:pPr>
        <w:pStyle w:val="15"/>
        <w:spacing w:line="360" w:lineRule="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 xml:space="preserve">                                日期：    年    月   日</w:t>
      </w:r>
    </w:p>
    <w:p w14:paraId="1CB02495">
      <w:pPr>
        <w:tabs>
          <w:tab w:val="left" w:pos="1086"/>
        </w:tabs>
        <w:jc w:val="left"/>
        <w:rPr>
          <w:rFonts w:hint="eastAsia" w:ascii="宋体" w:hAnsi="宋体" w:eastAsia="宋体" w:cs="宋体"/>
          <w:sz w:val="24"/>
          <w:highlight w:val="none"/>
        </w:rPr>
      </w:pPr>
    </w:p>
    <w:p w14:paraId="6FE34E1C">
      <w:pPr>
        <w:spacing w:line="480" w:lineRule="auto"/>
        <w:ind w:firstLine="218" w:firstLineChars="91"/>
        <w:jc w:val="center"/>
        <w:rPr>
          <w:rFonts w:hint="eastAsia" w:ascii="宋体" w:hAnsi="宋体" w:eastAsia="宋体" w:cs="宋体"/>
          <w:sz w:val="24"/>
          <w:highlight w:val="none"/>
        </w:rPr>
      </w:pPr>
    </w:p>
    <w:p w14:paraId="73E6888D">
      <w:pPr>
        <w:rPr>
          <w:rFonts w:hint="eastAsia" w:ascii="宋体" w:hAnsi="宋体" w:eastAsia="宋体" w:cs="宋体"/>
          <w:sz w:val="24"/>
          <w:highlight w:val="none"/>
        </w:rPr>
      </w:pPr>
      <w:r>
        <w:rPr>
          <w:rFonts w:hint="eastAsia" w:ascii="宋体" w:hAnsi="宋体" w:eastAsia="宋体" w:cs="宋体"/>
          <w:sz w:val="24"/>
          <w:highlight w:val="none"/>
        </w:rPr>
        <w:br w:type="page"/>
      </w:r>
    </w:p>
    <w:p w14:paraId="7A6CE7F5">
      <w:pPr>
        <w:spacing w:line="480" w:lineRule="auto"/>
        <w:ind w:firstLine="218" w:firstLineChars="91"/>
        <w:jc w:val="center"/>
        <w:rPr>
          <w:rFonts w:hint="eastAsia" w:ascii="宋体" w:hAnsi="宋体" w:eastAsia="宋体" w:cs="宋体"/>
          <w:sz w:val="24"/>
          <w:highlight w:val="none"/>
        </w:rPr>
      </w:pPr>
      <w:r>
        <w:rPr>
          <w:rFonts w:hint="eastAsia" w:ascii="宋体" w:hAnsi="宋体" w:eastAsia="宋体" w:cs="宋体"/>
          <w:sz w:val="24"/>
          <w:highlight w:val="none"/>
        </w:rPr>
        <w:t>九、供应商认为有必要提供的其他资料</w:t>
      </w:r>
    </w:p>
    <w:p w14:paraId="60AA29E5">
      <w:pPr>
        <w:rPr>
          <w:rFonts w:hint="eastAsia" w:ascii="宋体" w:hAnsi="宋体" w:eastAsia="宋体" w:cs="宋体"/>
          <w:highlight w:val="none"/>
        </w:rPr>
      </w:pPr>
    </w:p>
    <w:sectPr>
      <w:footerReference r:id="rId4" w:type="default"/>
      <w:pgSz w:w="11906" w:h="16838"/>
      <w:pgMar w:top="1440" w:right="17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6240B">
    <w:pPr>
      <w:pStyle w:val="1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3E7CCE">
                          <w:pPr>
                            <w:pStyle w:val="15"/>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H4oXcIBAACN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FtQ99S4rjFgZ9//jj/ejw/fCfL&#10;LE8foMasu4B5aXjvB1ya2Q/ozKwHFW3+Ih+CcRT3dBFXDomI/Gi1XK0qDAmMzRfEZ0/PQ4T0QXpL&#10;stHQiNMrovLjJ0hj6pySqzl/q40pEzTuLwdiZg/LvY89ZisNu2EitPPtCfn0OPiGOtxzSsxHh7rm&#10;HZmNOBu7ycg1ILw7JCxc+smoI9RUDKdUGE0bldfgz3vJevqLN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Ax+KF3CAQAAjQMAAA4AAAAAAAAAAQAgAAAAHgEAAGRycy9lMm9Eb2MueG1sUEsF&#10;BgAAAAAGAAYAWQEAAFIFAAAAAA==&#10;">
              <v:fill on="f" focussize="0,0"/>
              <v:stroke on="f"/>
              <v:imagedata o:title=""/>
              <o:lock v:ext="edit" aspectratio="f"/>
              <v:textbox inset="0mm,0mm,0mm,0mm" style="mso-fit-shape-to-text:t;">
                <w:txbxContent>
                  <w:p w14:paraId="393E7CCE">
                    <w:pPr>
                      <w:pStyle w:val="15"/>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0F0AF">
    <w:pPr>
      <w:pStyle w:val="1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F2FB8B"/>
    <w:multiLevelType w:val="singleLevel"/>
    <w:tmpl w:val="B7F2FB8B"/>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Y3MTI3NTM0ODViODIzZWVlN2U4NmZkZWFjYjdkMjIifQ=="/>
  </w:docVars>
  <w:rsids>
    <w:rsidRoot w:val="003175F0"/>
    <w:rsid w:val="0000023C"/>
    <w:rsid w:val="00002430"/>
    <w:rsid w:val="000079B3"/>
    <w:rsid w:val="00011CC2"/>
    <w:rsid w:val="00012D5C"/>
    <w:rsid w:val="00014BAA"/>
    <w:rsid w:val="00014D5C"/>
    <w:rsid w:val="00015EC6"/>
    <w:rsid w:val="00033ACF"/>
    <w:rsid w:val="00035AEC"/>
    <w:rsid w:val="000415F3"/>
    <w:rsid w:val="000429B9"/>
    <w:rsid w:val="00043759"/>
    <w:rsid w:val="00044E65"/>
    <w:rsid w:val="00044F04"/>
    <w:rsid w:val="000451E8"/>
    <w:rsid w:val="00045C92"/>
    <w:rsid w:val="00046166"/>
    <w:rsid w:val="000466FC"/>
    <w:rsid w:val="00057689"/>
    <w:rsid w:val="00060941"/>
    <w:rsid w:val="000611A8"/>
    <w:rsid w:val="0006453E"/>
    <w:rsid w:val="00067236"/>
    <w:rsid w:val="0007234F"/>
    <w:rsid w:val="00080ED3"/>
    <w:rsid w:val="0008110F"/>
    <w:rsid w:val="00084E8B"/>
    <w:rsid w:val="00086584"/>
    <w:rsid w:val="0009241E"/>
    <w:rsid w:val="000939F7"/>
    <w:rsid w:val="00095D0F"/>
    <w:rsid w:val="0009624B"/>
    <w:rsid w:val="00097301"/>
    <w:rsid w:val="000A5C6B"/>
    <w:rsid w:val="000B405B"/>
    <w:rsid w:val="000B5B39"/>
    <w:rsid w:val="000C0D3A"/>
    <w:rsid w:val="000C215D"/>
    <w:rsid w:val="000C7167"/>
    <w:rsid w:val="000D4004"/>
    <w:rsid w:val="000D486C"/>
    <w:rsid w:val="000D534A"/>
    <w:rsid w:val="000E17EE"/>
    <w:rsid w:val="000E4420"/>
    <w:rsid w:val="000E5F21"/>
    <w:rsid w:val="000F3F2B"/>
    <w:rsid w:val="001062F3"/>
    <w:rsid w:val="001136F6"/>
    <w:rsid w:val="001140E4"/>
    <w:rsid w:val="00117869"/>
    <w:rsid w:val="00117DFC"/>
    <w:rsid w:val="0012237C"/>
    <w:rsid w:val="00122944"/>
    <w:rsid w:val="00125861"/>
    <w:rsid w:val="00133005"/>
    <w:rsid w:val="00133E33"/>
    <w:rsid w:val="00134ABE"/>
    <w:rsid w:val="00137E0E"/>
    <w:rsid w:val="00146A07"/>
    <w:rsid w:val="001471AD"/>
    <w:rsid w:val="00154041"/>
    <w:rsid w:val="00154F91"/>
    <w:rsid w:val="001561F7"/>
    <w:rsid w:val="0016003D"/>
    <w:rsid w:val="00160BA0"/>
    <w:rsid w:val="00162E38"/>
    <w:rsid w:val="0016525C"/>
    <w:rsid w:val="00165CD1"/>
    <w:rsid w:val="00166BEA"/>
    <w:rsid w:val="0016715A"/>
    <w:rsid w:val="00175D87"/>
    <w:rsid w:val="00183F68"/>
    <w:rsid w:val="00184863"/>
    <w:rsid w:val="001865A1"/>
    <w:rsid w:val="001871EC"/>
    <w:rsid w:val="00192F69"/>
    <w:rsid w:val="00196962"/>
    <w:rsid w:val="00196DAC"/>
    <w:rsid w:val="00197996"/>
    <w:rsid w:val="001A4B47"/>
    <w:rsid w:val="001B079B"/>
    <w:rsid w:val="001B105B"/>
    <w:rsid w:val="001B4F3E"/>
    <w:rsid w:val="001C6199"/>
    <w:rsid w:val="001D42EB"/>
    <w:rsid w:val="001D5829"/>
    <w:rsid w:val="001E4D90"/>
    <w:rsid w:val="001E5D2B"/>
    <w:rsid w:val="001E66A3"/>
    <w:rsid w:val="001E6F4F"/>
    <w:rsid w:val="001F55DE"/>
    <w:rsid w:val="001F597A"/>
    <w:rsid w:val="002007B3"/>
    <w:rsid w:val="00204EEA"/>
    <w:rsid w:val="00204F73"/>
    <w:rsid w:val="00207BAC"/>
    <w:rsid w:val="00217121"/>
    <w:rsid w:val="002201EE"/>
    <w:rsid w:val="002203E2"/>
    <w:rsid w:val="00232BCC"/>
    <w:rsid w:val="00235A69"/>
    <w:rsid w:val="002416FB"/>
    <w:rsid w:val="00247183"/>
    <w:rsid w:val="002471AE"/>
    <w:rsid w:val="0025524A"/>
    <w:rsid w:val="002603C3"/>
    <w:rsid w:val="0026154E"/>
    <w:rsid w:val="00262429"/>
    <w:rsid w:val="002629DA"/>
    <w:rsid w:val="0026330E"/>
    <w:rsid w:val="00264712"/>
    <w:rsid w:val="00271EF6"/>
    <w:rsid w:val="00274E59"/>
    <w:rsid w:val="00275523"/>
    <w:rsid w:val="00276444"/>
    <w:rsid w:val="00283BF8"/>
    <w:rsid w:val="00286DA1"/>
    <w:rsid w:val="002945F6"/>
    <w:rsid w:val="002963E1"/>
    <w:rsid w:val="002A4691"/>
    <w:rsid w:val="002A5C1F"/>
    <w:rsid w:val="002A717D"/>
    <w:rsid w:val="002B0BC0"/>
    <w:rsid w:val="002B18DD"/>
    <w:rsid w:val="002B2DD3"/>
    <w:rsid w:val="002B70D4"/>
    <w:rsid w:val="002B7409"/>
    <w:rsid w:val="002B7CB5"/>
    <w:rsid w:val="002C082B"/>
    <w:rsid w:val="002C0E7D"/>
    <w:rsid w:val="002C1C1E"/>
    <w:rsid w:val="002D7CF4"/>
    <w:rsid w:val="002E11F5"/>
    <w:rsid w:val="002E3934"/>
    <w:rsid w:val="002E4BEB"/>
    <w:rsid w:val="002E67C9"/>
    <w:rsid w:val="002F082A"/>
    <w:rsid w:val="002F4717"/>
    <w:rsid w:val="002F522E"/>
    <w:rsid w:val="002F69E0"/>
    <w:rsid w:val="00302D96"/>
    <w:rsid w:val="00306EA4"/>
    <w:rsid w:val="0030736B"/>
    <w:rsid w:val="00307891"/>
    <w:rsid w:val="003175F0"/>
    <w:rsid w:val="0032743D"/>
    <w:rsid w:val="003278CD"/>
    <w:rsid w:val="00327D70"/>
    <w:rsid w:val="0033474D"/>
    <w:rsid w:val="00337799"/>
    <w:rsid w:val="00337D12"/>
    <w:rsid w:val="00337E2B"/>
    <w:rsid w:val="00341A87"/>
    <w:rsid w:val="0034739E"/>
    <w:rsid w:val="00347490"/>
    <w:rsid w:val="00350E15"/>
    <w:rsid w:val="003566F2"/>
    <w:rsid w:val="00356775"/>
    <w:rsid w:val="00361948"/>
    <w:rsid w:val="0036720A"/>
    <w:rsid w:val="00371CDD"/>
    <w:rsid w:val="00372DF8"/>
    <w:rsid w:val="00374391"/>
    <w:rsid w:val="00374A44"/>
    <w:rsid w:val="00376A8A"/>
    <w:rsid w:val="003772F8"/>
    <w:rsid w:val="00377DAF"/>
    <w:rsid w:val="00380AD1"/>
    <w:rsid w:val="00380CF5"/>
    <w:rsid w:val="003821D3"/>
    <w:rsid w:val="00383466"/>
    <w:rsid w:val="003840F5"/>
    <w:rsid w:val="003913F8"/>
    <w:rsid w:val="003929D4"/>
    <w:rsid w:val="003964A7"/>
    <w:rsid w:val="003A0262"/>
    <w:rsid w:val="003A1494"/>
    <w:rsid w:val="003A2C5F"/>
    <w:rsid w:val="003A4FDF"/>
    <w:rsid w:val="003A5F6A"/>
    <w:rsid w:val="003B15D8"/>
    <w:rsid w:val="003B3D6B"/>
    <w:rsid w:val="003B5334"/>
    <w:rsid w:val="003B66BE"/>
    <w:rsid w:val="003C4940"/>
    <w:rsid w:val="003C7555"/>
    <w:rsid w:val="003D05F3"/>
    <w:rsid w:val="003D1B6A"/>
    <w:rsid w:val="003D4754"/>
    <w:rsid w:val="003D759C"/>
    <w:rsid w:val="003E53E1"/>
    <w:rsid w:val="003E74D9"/>
    <w:rsid w:val="003F1A58"/>
    <w:rsid w:val="003F3263"/>
    <w:rsid w:val="003F361F"/>
    <w:rsid w:val="00400063"/>
    <w:rsid w:val="00401438"/>
    <w:rsid w:val="00401FA4"/>
    <w:rsid w:val="00403316"/>
    <w:rsid w:val="00403742"/>
    <w:rsid w:val="004059DF"/>
    <w:rsid w:val="004146C0"/>
    <w:rsid w:val="004147CB"/>
    <w:rsid w:val="00417211"/>
    <w:rsid w:val="004223B6"/>
    <w:rsid w:val="004272E3"/>
    <w:rsid w:val="00436CC4"/>
    <w:rsid w:val="00440D75"/>
    <w:rsid w:val="00444794"/>
    <w:rsid w:val="00446AC1"/>
    <w:rsid w:val="004471F4"/>
    <w:rsid w:val="00450FF2"/>
    <w:rsid w:val="00455AA0"/>
    <w:rsid w:val="00456063"/>
    <w:rsid w:val="00456A2C"/>
    <w:rsid w:val="0045747C"/>
    <w:rsid w:val="0046095F"/>
    <w:rsid w:val="00461CA4"/>
    <w:rsid w:val="004673AE"/>
    <w:rsid w:val="00471051"/>
    <w:rsid w:val="004800FD"/>
    <w:rsid w:val="00484C18"/>
    <w:rsid w:val="004920ED"/>
    <w:rsid w:val="00492FC6"/>
    <w:rsid w:val="004933C7"/>
    <w:rsid w:val="00493539"/>
    <w:rsid w:val="00494C4B"/>
    <w:rsid w:val="00497A37"/>
    <w:rsid w:val="004A34B8"/>
    <w:rsid w:val="004A61D9"/>
    <w:rsid w:val="004B1E6A"/>
    <w:rsid w:val="004B5015"/>
    <w:rsid w:val="004C1D01"/>
    <w:rsid w:val="004C438E"/>
    <w:rsid w:val="004C4A32"/>
    <w:rsid w:val="004C4EFD"/>
    <w:rsid w:val="004C629C"/>
    <w:rsid w:val="004D1B43"/>
    <w:rsid w:val="004D45A4"/>
    <w:rsid w:val="004D68E4"/>
    <w:rsid w:val="004E4735"/>
    <w:rsid w:val="004E5204"/>
    <w:rsid w:val="004F616F"/>
    <w:rsid w:val="004F7E12"/>
    <w:rsid w:val="005024AF"/>
    <w:rsid w:val="0051005A"/>
    <w:rsid w:val="00510C7B"/>
    <w:rsid w:val="00510DC8"/>
    <w:rsid w:val="005111B4"/>
    <w:rsid w:val="0051607E"/>
    <w:rsid w:val="005175B9"/>
    <w:rsid w:val="0052093D"/>
    <w:rsid w:val="00524DCF"/>
    <w:rsid w:val="0052660A"/>
    <w:rsid w:val="0053133E"/>
    <w:rsid w:val="005314DC"/>
    <w:rsid w:val="005341DA"/>
    <w:rsid w:val="00534F88"/>
    <w:rsid w:val="00543CC9"/>
    <w:rsid w:val="0054776E"/>
    <w:rsid w:val="00547811"/>
    <w:rsid w:val="005503E8"/>
    <w:rsid w:val="005545F5"/>
    <w:rsid w:val="00564BC0"/>
    <w:rsid w:val="00565216"/>
    <w:rsid w:val="00571EBD"/>
    <w:rsid w:val="00572016"/>
    <w:rsid w:val="00573C91"/>
    <w:rsid w:val="00574CE2"/>
    <w:rsid w:val="00576DCF"/>
    <w:rsid w:val="00582020"/>
    <w:rsid w:val="00585E4F"/>
    <w:rsid w:val="00590D95"/>
    <w:rsid w:val="005A0D91"/>
    <w:rsid w:val="005A1D48"/>
    <w:rsid w:val="005A50F5"/>
    <w:rsid w:val="005A6FAB"/>
    <w:rsid w:val="005B01A5"/>
    <w:rsid w:val="005B17BE"/>
    <w:rsid w:val="005B2714"/>
    <w:rsid w:val="005B57F4"/>
    <w:rsid w:val="005B6A51"/>
    <w:rsid w:val="005C1091"/>
    <w:rsid w:val="005C330D"/>
    <w:rsid w:val="005C34B9"/>
    <w:rsid w:val="005C3938"/>
    <w:rsid w:val="005C4237"/>
    <w:rsid w:val="005C5676"/>
    <w:rsid w:val="005D1ABB"/>
    <w:rsid w:val="005D326F"/>
    <w:rsid w:val="005D64F4"/>
    <w:rsid w:val="005E700B"/>
    <w:rsid w:val="005F3DE5"/>
    <w:rsid w:val="00600469"/>
    <w:rsid w:val="006014A5"/>
    <w:rsid w:val="0060521B"/>
    <w:rsid w:val="00605684"/>
    <w:rsid w:val="00606BD3"/>
    <w:rsid w:val="00606DEB"/>
    <w:rsid w:val="00616295"/>
    <w:rsid w:val="0062227E"/>
    <w:rsid w:val="006228BD"/>
    <w:rsid w:val="00624760"/>
    <w:rsid w:val="00624C86"/>
    <w:rsid w:val="00625AAD"/>
    <w:rsid w:val="006271B9"/>
    <w:rsid w:val="00631895"/>
    <w:rsid w:val="00631E76"/>
    <w:rsid w:val="006349F4"/>
    <w:rsid w:val="00636324"/>
    <w:rsid w:val="00640254"/>
    <w:rsid w:val="0064380A"/>
    <w:rsid w:val="0064575F"/>
    <w:rsid w:val="00645EAF"/>
    <w:rsid w:val="006519E5"/>
    <w:rsid w:val="0065413F"/>
    <w:rsid w:val="00661864"/>
    <w:rsid w:val="00661CD8"/>
    <w:rsid w:val="00662190"/>
    <w:rsid w:val="006626FA"/>
    <w:rsid w:val="006639A7"/>
    <w:rsid w:val="00673215"/>
    <w:rsid w:val="00673956"/>
    <w:rsid w:val="00680FD9"/>
    <w:rsid w:val="0068128A"/>
    <w:rsid w:val="00686C25"/>
    <w:rsid w:val="006910DD"/>
    <w:rsid w:val="006925D7"/>
    <w:rsid w:val="006A0669"/>
    <w:rsid w:val="006A1488"/>
    <w:rsid w:val="006A2AC8"/>
    <w:rsid w:val="006A634D"/>
    <w:rsid w:val="006B09C7"/>
    <w:rsid w:val="006B3152"/>
    <w:rsid w:val="006B3223"/>
    <w:rsid w:val="006B4D36"/>
    <w:rsid w:val="006B509D"/>
    <w:rsid w:val="006C21C7"/>
    <w:rsid w:val="006C3743"/>
    <w:rsid w:val="006C69B2"/>
    <w:rsid w:val="006D17A6"/>
    <w:rsid w:val="006D3EB8"/>
    <w:rsid w:val="006D4C9E"/>
    <w:rsid w:val="006D5A61"/>
    <w:rsid w:val="006E0FEB"/>
    <w:rsid w:val="006E3ED5"/>
    <w:rsid w:val="006E45B3"/>
    <w:rsid w:val="006E4845"/>
    <w:rsid w:val="006E7428"/>
    <w:rsid w:val="006F220E"/>
    <w:rsid w:val="006F7902"/>
    <w:rsid w:val="0070299E"/>
    <w:rsid w:val="00704D4D"/>
    <w:rsid w:val="0070507F"/>
    <w:rsid w:val="00706459"/>
    <w:rsid w:val="00715C75"/>
    <w:rsid w:val="00720044"/>
    <w:rsid w:val="007240F6"/>
    <w:rsid w:val="00724D15"/>
    <w:rsid w:val="00725B60"/>
    <w:rsid w:val="00726300"/>
    <w:rsid w:val="007317E8"/>
    <w:rsid w:val="00732750"/>
    <w:rsid w:val="00740FE9"/>
    <w:rsid w:val="007438B6"/>
    <w:rsid w:val="00752D7B"/>
    <w:rsid w:val="00760A1B"/>
    <w:rsid w:val="00764381"/>
    <w:rsid w:val="007660FF"/>
    <w:rsid w:val="0076742E"/>
    <w:rsid w:val="007676E1"/>
    <w:rsid w:val="00770C89"/>
    <w:rsid w:val="00773588"/>
    <w:rsid w:val="007801F5"/>
    <w:rsid w:val="0078395F"/>
    <w:rsid w:val="007845DE"/>
    <w:rsid w:val="00790A49"/>
    <w:rsid w:val="00793062"/>
    <w:rsid w:val="00794D46"/>
    <w:rsid w:val="0079768A"/>
    <w:rsid w:val="00797D9C"/>
    <w:rsid w:val="007A17D0"/>
    <w:rsid w:val="007A4D89"/>
    <w:rsid w:val="007A6951"/>
    <w:rsid w:val="007B068D"/>
    <w:rsid w:val="007B1A3E"/>
    <w:rsid w:val="007B7F90"/>
    <w:rsid w:val="007C14CB"/>
    <w:rsid w:val="007C5691"/>
    <w:rsid w:val="007D0C8E"/>
    <w:rsid w:val="007D4795"/>
    <w:rsid w:val="007E3984"/>
    <w:rsid w:val="007E4268"/>
    <w:rsid w:val="007E4FB2"/>
    <w:rsid w:val="007F0566"/>
    <w:rsid w:val="007F441D"/>
    <w:rsid w:val="007F4538"/>
    <w:rsid w:val="008041D1"/>
    <w:rsid w:val="00804FA3"/>
    <w:rsid w:val="008073D4"/>
    <w:rsid w:val="0081733D"/>
    <w:rsid w:val="00824A2E"/>
    <w:rsid w:val="00824C65"/>
    <w:rsid w:val="00824C7E"/>
    <w:rsid w:val="00831D7E"/>
    <w:rsid w:val="0083413B"/>
    <w:rsid w:val="00836AE8"/>
    <w:rsid w:val="008377D2"/>
    <w:rsid w:val="00841E66"/>
    <w:rsid w:val="00844877"/>
    <w:rsid w:val="0084740C"/>
    <w:rsid w:val="00852D1C"/>
    <w:rsid w:val="00855B53"/>
    <w:rsid w:val="008702FB"/>
    <w:rsid w:val="00875B45"/>
    <w:rsid w:val="0087745C"/>
    <w:rsid w:val="008778C2"/>
    <w:rsid w:val="00877B57"/>
    <w:rsid w:val="00881D50"/>
    <w:rsid w:val="00884423"/>
    <w:rsid w:val="0088669A"/>
    <w:rsid w:val="00894BAD"/>
    <w:rsid w:val="00894F85"/>
    <w:rsid w:val="008A0EB4"/>
    <w:rsid w:val="008A22D3"/>
    <w:rsid w:val="008A4295"/>
    <w:rsid w:val="008A7A7F"/>
    <w:rsid w:val="008B006A"/>
    <w:rsid w:val="008B0F5B"/>
    <w:rsid w:val="008B6038"/>
    <w:rsid w:val="008C5926"/>
    <w:rsid w:val="008D3EE7"/>
    <w:rsid w:val="008D6776"/>
    <w:rsid w:val="008D7AB3"/>
    <w:rsid w:val="008E0149"/>
    <w:rsid w:val="008E0321"/>
    <w:rsid w:val="008E1785"/>
    <w:rsid w:val="008E1A3A"/>
    <w:rsid w:val="008E2CF0"/>
    <w:rsid w:val="008E3CB6"/>
    <w:rsid w:val="008E598D"/>
    <w:rsid w:val="008F3D84"/>
    <w:rsid w:val="008F6C70"/>
    <w:rsid w:val="00901754"/>
    <w:rsid w:val="00901AD7"/>
    <w:rsid w:val="00910E87"/>
    <w:rsid w:val="0091188E"/>
    <w:rsid w:val="009133C2"/>
    <w:rsid w:val="00913AE8"/>
    <w:rsid w:val="0091519F"/>
    <w:rsid w:val="00920735"/>
    <w:rsid w:val="009275A1"/>
    <w:rsid w:val="00940C72"/>
    <w:rsid w:val="0094128D"/>
    <w:rsid w:val="0094325C"/>
    <w:rsid w:val="009432B5"/>
    <w:rsid w:val="00943309"/>
    <w:rsid w:val="00943FD4"/>
    <w:rsid w:val="009465F1"/>
    <w:rsid w:val="00946A09"/>
    <w:rsid w:val="00951B75"/>
    <w:rsid w:val="00951BB9"/>
    <w:rsid w:val="00951E76"/>
    <w:rsid w:val="00953343"/>
    <w:rsid w:val="00956522"/>
    <w:rsid w:val="0095685E"/>
    <w:rsid w:val="00956A47"/>
    <w:rsid w:val="00956CD2"/>
    <w:rsid w:val="00963C67"/>
    <w:rsid w:val="0097631E"/>
    <w:rsid w:val="00977B14"/>
    <w:rsid w:val="00977C8B"/>
    <w:rsid w:val="00980A1B"/>
    <w:rsid w:val="009841BD"/>
    <w:rsid w:val="00984F37"/>
    <w:rsid w:val="0099085A"/>
    <w:rsid w:val="00991B54"/>
    <w:rsid w:val="0099237A"/>
    <w:rsid w:val="009959DF"/>
    <w:rsid w:val="009A13B3"/>
    <w:rsid w:val="009A3772"/>
    <w:rsid w:val="009A5629"/>
    <w:rsid w:val="009B2C31"/>
    <w:rsid w:val="009B38AD"/>
    <w:rsid w:val="009B481F"/>
    <w:rsid w:val="009B533E"/>
    <w:rsid w:val="009B7681"/>
    <w:rsid w:val="009C07E7"/>
    <w:rsid w:val="009C480F"/>
    <w:rsid w:val="009C4A35"/>
    <w:rsid w:val="009C6A1F"/>
    <w:rsid w:val="009C6EA0"/>
    <w:rsid w:val="009C774C"/>
    <w:rsid w:val="009D1AB7"/>
    <w:rsid w:val="009D40A4"/>
    <w:rsid w:val="009D4911"/>
    <w:rsid w:val="009E10C2"/>
    <w:rsid w:val="009E5A0D"/>
    <w:rsid w:val="009F062B"/>
    <w:rsid w:val="009F12EF"/>
    <w:rsid w:val="009F4FCC"/>
    <w:rsid w:val="009F5853"/>
    <w:rsid w:val="009F5F42"/>
    <w:rsid w:val="00A10F07"/>
    <w:rsid w:val="00A11B31"/>
    <w:rsid w:val="00A12741"/>
    <w:rsid w:val="00A17F3A"/>
    <w:rsid w:val="00A32074"/>
    <w:rsid w:val="00A3251D"/>
    <w:rsid w:val="00A539AA"/>
    <w:rsid w:val="00A5430C"/>
    <w:rsid w:val="00A616C4"/>
    <w:rsid w:val="00A672FE"/>
    <w:rsid w:val="00A70C2C"/>
    <w:rsid w:val="00A72370"/>
    <w:rsid w:val="00A7380D"/>
    <w:rsid w:val="00A75506"/>
    <w:rsid w:val="00A7636C"/>
    <w:rsid w:val="00A76653"/>
    <w:rsid w:val="00A84A91"/>
    <w:rsid w:val="00A903E6"/>
    <w:rsid w:val="00A90999"/>
    <w:rsid w:val="00A93502"/>
    <w:rsid w:val="00A97003"/>
    <w:rsid w:val="00A971F4"/>
    <w:rsid w:val="00A974D3"/>
    <w:rsid w:val="00AA33E2"/>
    <w:rsid w:val="00AA3E69"/>
    <w:rsid w:val="00AA6856"/>
    <w:rsid w:val="00AA7E29"/>
    <w:rsid w:val="00AB189D"/>
    <w:rsid w:val="00AB2C5B"/>
    <w:rsid w:val="00AB530B"/>
    <w:rsid w:val="00AC0A3D"/>
    <w:rsid w:val="00AC4582"/>
    <w:rsid w:val="00AD35B0"/>
    <w:rsid w:val="00AD4082"/>
    <w:rsid w:val="00AD41EA"/>
    <w:rsid w:val="00AD56D0"/>
    <w:rsid w:val="00AD6910"/>
    <w:rsid w:val="00AE0366"/>
    <w:rsid w:val="00AE2CD0"/>
    <w:rsid w:val="00AE487E"/>
    <w:rsid w:val="00AE56B8"/>
    <w:rsid w:val="00AE5F82"/>
    <w:rsid w:val="00AE65D9"/>
    <w:rsid w:val="00AF07E2"/>
    <w:rsid w:val="00AF3C16"/>
    <w:rsid w:val="00B03BC1"/>
    <w:rsid w:val="00B04EC7"/>
    <w:rsid w:val="00B06743"/>
    <w:rsid w:val="00B1163B"/>
    <w:rsid w:val="00B12266"/>
    <w:rsid w:val="00B122F0"/>
    <w:rsid w:val="00B126A6"/>
    <w:rsid w:val="00B12BFD"/>
    <w:rsid w:val="00B1379A"/>
    <w:rsid w:val="00B1773B"/>
    <w:rsid w:val="00B2005D"/>
    <w:rsid w:val="00B23652"/>
    <w:rsid w:val="00B25688"/>
    <w:rsid w:val="00B335F6"/>
    <w:rsid w:val="00B348CE"/>
    <w:rsid w:val="00B5443F"/>
    <w:rsid w:val="00B56FB7"/>
    <w:rsid w:val="00B65F96"/>
    <w:rsid w:val="00B66FE8"/>
    <w:rsid w:val="00B675C5"/>
    <w:rsid w:val="00B76119"/>
    <w:rsid w:val="00B84A97"/>
    <w:rsid w:val="00B84D13"/>
    <w:rsid w:val="00B918FB"/>
    <w:rsid w:val="00B933E3"/>
    <w:rsid w:val="00B962B7"/>
    <w:rsid w:val="00B963ED"/>
    <w:rsid w:val="00B96E84"/>
    <w:rsid w:val="00BB02BF"/>
    <w:rsid w:val="00BB274F"/>
    <w:rsid w:val="00BB3D1B"/>
    <w:rsid w:val="00BB6271"/>
    <w:rsid w:val="00BB6FA1"/>
    <w:rsid w:val="00BC3731"/>
    <w:rsid w:val="00BC79E2"/>
    <w:rsid w:val="00BD15CB"/>
    <w:rsid w:val="00BD3BF4"/>
    <w:rsid w:val="00BD66E9"/>
    <w:rsid w:val="00BD7126"/>
    <w:rsid w:val="00BE1545"/>
    <w:rsid w:val="00BE23BE"/>
    <w:rsid w:val="00BE2658"/>
    <w:rsid w:val="00BE68DE"/>
    <w:rsid w:val="00BE6A31"/>
    <w:rsid w:val="00BF0964"/>
    <w:rsid w:val="00BF2BB9"/>
    <w:rsid w:val="00BF54D7"/>
    <w:rsid w:val="00C01EC8"/>
    <w:rsid w:val="00C040FC"/>
    <w:rsid w:val="00C06BC8"/>
    <w:rsid w:val="00C120E2"/>
    <w:rsid w:val="00C27A4B"/>
    <w:rsid w:val="00C27AA6"/>
    <w:rsid w:val="00C31582"/>
    <w:rsid w:val="00C35279"/>
    <w:rsid w:val="00C364AA"/>
    <w:rsid w:val="00C37B5A"/>
    <w:rsid w:val="00C37FDD"/>
    <w:rsid w:val="00C4045E"/>
    <w:rsid w:val="00C42053"/>
    <w:rsid w:val="00C436FC"/>
    <w:rsid w:val="00C44088"/>
    <w:rsid w:val="00C47438"/>
    <w:rsid w:val="00C47A6B"/>
    <w:rsid w:val="00C55529"/>
    <w:rsid w:val="00C568AB"/>
    <w:rsid w:val="00C626FA"/>
    <w:rsid w:val="00C7091C"/>
    <w:rsid w:val="00C72E01"/>
    <w:rsid w:val="00C76441"/>
    <w:rsid w:val="00C80D07"/>
    <w:rsid w:val="00C81559"/>
    <w:rsid w:val="00C8187C"/>
    <w:rsid w:val="00C81CAE"/>
    <w:rsid w:val="00C90499"/>
    <w:rsid w:val="00C90D3F"/>
    <w:rsid w:val="00C9205B"/>
    <w:rsid w:val="00C92170"/>
    <w:rsid w:val="00C9329D"/>
    <w:rsid w:val="00C9554C"/>
    <w:rsid w:val="00C96723"/>
    <w:rsid w:val="00CA02C4"/>
    <w:rsid w:val="00CA1F91"/>
    <w:rsid w:val="00CA39CB"/>
    <w:rsid w:val="00CA61D0"/>
    <w:rsid w:val="00CA7749"/>
    <w:rsid w:val="00CB2254"/>
    <w:rsid w:val="00CB3523"/>
    <w:rsid w:val="00CB63DB"/>
    <w:rsid w:val="00CB6866"/>
    <w:rsid w:val="00CC27E2"/>
    <w:rsid w:val="00CC5EE7"/>
    <w:rsid w:val="00CD205C"/>
    <w:rsid w:val="00CD5057"/>
    <w:rsid w:val="00CE1DA0"/>
    <w:rsid w:val="00CE7DFC"/>
    <w:rsid w:val="00CF0540"/>
    <w:rsid w:val="00CF07C0"/>
    <w:rsid w:val="00CF601D"/>
    <w:rsid w:val="00CF6082"/>
    <w:rsid w:val="00CF7B1A"/>
    <w:rsid w:val="00CF7C2D"/>
    <w:rsid w:val="00D07920"/>
    <w:rsid w:val="00D1131E"/>
    <w:rsid w:val="00D117DD"/>
    <w:rsid w:val="00D11E03"/>
    <w:rsid w:val="00D12163"/>
    <w:rsid w:val="00D14297"/>
    <w:rsid w:val="00D143FC"/>
    <w:rsid w:val="00D15FA2"/>
    <w:rsid w:val="00D16D78"/>
    <w:rsid w:val="00D179F5"/>
    <w:rsid w:val="00D20CF7"/>
    <w:rsid w:val="00D30F30"/>
    <w:rsid w:val="00D43CF5"/>
    <w:rsid w:val="00D44F5B"/>
    <w:rsid w:val="00D46BCE"/>
    <w:rsid w:val="00D55FD6"/>
    <w:rsid w:val="00D60460"/>
    <w:rsid w:val="00D6060B"/>
    <w:rsid w:val="00D61536"/>
    <w:rsid w:val="00D63BBA"/>
    <w:rsid w:val="00D64B4F"/>
    <w:rsid w:val="00D706FD"/>
    <w:rsid w:val="00D7532E"/>
    <w:rsid w:val="00D8182E"/>
    <w:rsid w:val="00D81F28"/>
    <w:rsid w:val="00D82CD6"/>
    <w:rsid w:val="00D839B4"/>
    <w:rsid w:val="00D91EF5"/>
    <w:rsid w:val="00D941D4"/>
    <w:rsid w:val="00D9543D"/>
    <w:rsid w:val="00D956F8"/>
    <w:rsid w:val="00D95FF2"/>
    <w:rsid w:val="00D97B2C"/>
    <w:rsid w:val="00DA11F2"/>
    <w:rsid w:val="00DA3F03"/>
    <w:rsid w:val="00DA7BE4"/>
    <w:rsid w:val="00DB33A4"/>
    <w:rsid w:val="00DB375E"/>
    <w:rsid w:val="00DB4C96"/>
    <w:rsid w:val="00DD322A"/>
    <w:rsid w:val="00DD5C18"/>
    <w:rsid w:val="00DF04B9"/>
    <w:rsid w:val="00DF15E9"/>
    <w:rsid w:val="00DF1A56"/>
    <w:rsid w:val="00DF1AB0"/>
    <w:rsid w:val="00E05C92"/>
    <w:rsid w:val="00E06C09"/>
    <w:rsid w:val="00E07C64"/>
    <w:rsid w:val="00E10D52"/>
    <w:rsid w:val="00E138FF"/>
    <w:rsid w:val="00E13A35"/>
    <w:rsid w:val="00E17D30"/>
    <w:rsid w:val="00E20EFE"/>
    <w:rsid w:val="00E222AC"/>
    <w:rsid w:val="00E232A6"/>
    <w:rsid w:val="00E24368"/>
    <w:rsid w:val="00E33925"/>
    <w:rsid w:val="00E34466"/>
    <w:rsid w:val="00E34B01"/>
    <w:rsid w:val="00E36ABD"/>
    <w:rsid w:val="00E37214"/>
    <w:rsid w:val="00E40E77"/>
    <w:rsid w:val="00E50991"/>
    <w:rsid w:val="00E5215E"/>
    <w:rsid w:val="00E52433"/>
    <w:rsid w:val="00E60C30"/>
    <w:rsid w:val="00E60E78"/>
    <w:rsid w:val="00E833F6"/>
    <w:rsid w:val="00E840CC"/>
    <w:rsid w:val="00E843ED"/>
    <w:rsid w:val="00E90181"/>
    <w:rsid w:val="00E90A11"/>
    <w:rsid w:val="00E95842"/>
    <w:rsid w:val="00E96C68"/>
    <w:rsid w:val="00EA10D8"/>
    <w:rsid w:val="00EA1736"/>
    <w:rsid w:val="00EA1C09"/>
    <w:rsid w:val="00EA500F"/>
    <w:rsid w:val="00EB23A3"/>
    <w:rsid w:val="00EB3C61"/>
    <w:rsid w:val="00EB44CD"/>
    <w:rsid w:val="00EB57D3"/>
    <w:rsid w:val="00EC2302"/>
    <w:rsid w:val="00EC45A7"/>
    <w:rsid w:val="00ED1E87"/>
    <w:rsid w:val="00ED1F95"/>
    <w:rsid w:val="00ED44FF"/>
    <w:rsid w:val="00EE446B"/>
    <w:rsid w:val="00EE50CB"/>
    <w:rsid w:val="00EE5502"/>
    <w:rsid w:val="00EF04FB"/>
    <w:rsid w:val="00EF3235"/>
    <w:rsid w:val="00EF40E0"/>
    <w:rsid w:val="00EF49E4"/>
    <w:rsid w:val="00EF6D25"/>
    <w:rsid w:val="00F01B85"/>
    <w:rsid w:val="00F0292A"/>
    <w:rsid w:val="00F045AE"/>
    <w:rsid w:val="00F12B6E"/>
    <w:rsid w:val="00F13400"/>
    <w:rsid w:val="00F15DC1"/>
    <w:rsid w:val="00F21F5D"/>
    <w:rsid w:val="00F264AC"/>
    <w:rsid w:val="00F27441"/>
    <w:rsid w:val="00F27DD5"/>
    <w:rsid w:val="00F33750"/>
    <w:rsid w:val="00F40838"/>
    <w:rsid w:val="00F43DBF"/>
    <w:rsid w:val="00F44BDB"/>
    <w:rsid w:val="00F46889"/>
    <w:rsid w:val="00F50EDE"/>
    <w:rsid w:val="00F665C2"/>
    <w:rsid w:val="00F73E1B"/>
    <w:rsid w:val="00F75807"/>
    <w:rsid w:val="00F80097"/>
    <w:rsid w:val="00F80932"/>
    <w:rsid w:val="00F83020"/>
    <w:rsid w:val="00F83097"/>
    <w:rsid w:val="00F84462"/>
    <w:rsid w:val="00F95BC4"/>
    <w:rsid w:val="00F95EFD"/>
    <w:rsid w:val="00FA40D9"/>
    <w:rsid w:val="00FA7151"/>
    <w:rsid w:val="00FA757A"/>
    <w:rsid w:val="00FB10B2"/>
    <w:rsid w:val="00FC01CE"/>
    <w:rsid w:val="00FC2EB9"/>
    <w:rsid w:val="00FC3E6E"/>
    <w:rsid w:val="00FC58EF"/>
    <w:rsid w:val="00FD18F6"/>
    <w:rsid w:val="00FD79FA"/>
    <w:rsid w:val="00FE133D"/>
    <w:rsid w:val="00FE4F57"/>
    <w:rsid w:val="00FE633D"/>
    <w:rsid w:val="00FF03DF"/>
    <w:rsid w:val="00FF3ED8"/>
    <w:rsid w:val="00FF4701"/>
    <w:rsid w:val="00FF5572"/>
    <w:rsid w:val="00FF7955"/>
    <w:rsid w:val="010F7125"/>
    <w:rsid w:val="01206C7F"/>
    <w:rsid w:val="012724AC"/>
    <w:rsid w:val="012C546F"/>
    <w:rsid w:val="012F1A4A"/>
    <w:rsid w:val="0139345E"/>
    <w:rsid w:val="013D70B2"/>
    <w:rsid w:val="0141331F"/>
    <w:rsid w:val="01763BCE"/>
    <w:rsid w:val="01822573"/>
    <w:rsid w:val="01A50C0F"/>
    <w:rsid w:val="01AF70E0"/>
    <w:rsid w:val="01BB2001"/>
    <w:rsid w:val="01C13D7C"/>
    <w:rsid w:val="01D2031C"/>
    <w:rsid w:val="01D92F9F"/>
    <w:rsid w:val="01EB45BC"/>
    <w:rsid w:val="01F1594A"/>
    <w:rsid w:val="02160F0D"/>
    <w:rsid w:val="022B422D"/>
    <w:rsid w:val="022F6E09"/>
    <w:rsid w:val="025073EC"/>
    <w:rsid w:val="02530A98"/>
    <w:rsid w:val="026305F6"/>
    <w:rsid w:val="026E141D"/>
    <w:rsid w:val="028B36A9"/>
    <w:rsid w:val="02942C51"/>
    <w:rsid w:val="02B713EC"/>
    <w:rsid w:val="02C24BF1"/>
    <w:rsid w:val="02C41A53"/>
    <w:rsid w:val="02CA1262"/>
    <w:rsid w:val="02CD3CC1"/>
    <w:rsid w:val="02D75A18"/>
    <w:rsid w:val="02D94083"/>
    <w:rsid w:val="02DE6EC6"/>
    <w:rsid w:val="02E51E4B"/>
    <w:rsid w:val="02E5725D"/>
    <w:rsid w:val="02F27E6E"/>
    <w:rsid w:val="02F94AB6"/>
    <w:rsid w:val="03034A8D"/>
    <w:rsid w:val="031A4A2D"/>
    <w:rsid w:val="0324440D"/>
    <w:rsid w:val="032F7612"/>
    <w:rsid w:val="0332621A"/>
    <w:rsid w:val="03343D40"/>
    <w:rsid w:val="03352BAC"/>
    <w:rsid w:val="034026E5"/>
    <w:rsid w:val="03426C58"/>
    <w:rsid w:val="035038D0"/>
    <w:rsid w:val="03546C6B"/>
    <w:rsid w:val="03586454"/>
    <w:rsid w:val="037E6D6A"/>
    <w:rsid w:val="03A10CAA"/>
    <w:rsid w:val="03A478C6"/>
    <w:rsid w:val="03AA2F27"/>
    <w:rsid w:val="03C9092D"/>
    <w:rsid w:val="03DB0660"/>
    <w:rsid w:val="03E5503B"/>
    <w:rsid w:val="03E56DE9"/>
    <w:rsid w:val="04020DE9"/>
    <w:rsid w:val="041B280B"/>
    <w:rsid w:val="042E253E"/>
    <w:rsid w:val="045C354F"/>
    <w:rsid w:val="047D5273"/>
    <w:rsid w:val="04965589"/>
    <w:rsid w:val="04AD1640"/>
    <w:rsid w:val="04B74C29"/>
    <w:rsid w:val="04D53301"/>
    <w:rsid w:val="04EF1AD4"/>
    <w:rsid w:val="04F32760"/>
    <w:rsid w:val="054B35C3"/>
    <w:rsid w:val="05553EB7"/>
    <w:rsid w:val="056B1570"/>
    <w:rsid w:val="056D669F"/>
    <w:rsid w:val="057851D8"/>
    <w:rsid w:val="05856AD5"/>
    <w:rsid w:val="058E1C69"/>
    <w:rsid w:val="059933C0"/>
    <w:rsid w:val="05B9677F"/>
    <w:rsid w:val="05BD1C1E"/>
    <w:rsid w:val="05BE14FD"/>
    <w:rsid w:val="05C649F8"/>
    <w:rsid w:val="05E064A4"/>
    <w:rsid w:val="05E41E47"/>
    <w:rsid w:val="060519C4"/>
    <w:rsid w:val="06055520"/>
    <w:rsid w:val="060C2D53"/>
    <w:rsid w:val="06255BC2"/>
    <w:rsid w:val="062C4945"/>
    <w:rsid w:val="063302DF"/>
    <w:rsid w:val="06375185"/>
    <w:rsid w:val="06385649"/>
    <w:rsid w:val="063E38AD"/>
    <w:rsid w:val="064842D6"/>
    <w:rsid w:val="064A73D7"/>
    <w:rsid w:val="06585F98"/>
    <w:rsid w:val="065F10D4"/>
    <w:rsid w:val="06604E4C"/>
    <w:rsid w:val="0662717A"/>
    <w:rsid w:val="0669248A"/>
    <w:rsid w:val="067F28C8"/>
    <w:rsid w:val="0681036F"/>
    <w:rsid w:val="068943A3"/>
    <w:rsid w:val="068C79F0"/>
    <w:rsid w:val="06A41DDF"/>
    <w:rsid w:val="06AB1533"/>
    <w:rsid w:val="06C3791B"/>
    <w:rsid w:val="06D51E54"/>
    <w:rsid w:val="06D9123A"/>
    <w:rsid w:val="06E31D05"/>
    <w:rsid w:val="07091040"/>
    <w:rsid w:val="0713171C"/>
    <w:rsid w:val="074572D6"/>
    <w:rsid w:val="07481B68"/>
    <w:rsid w:val="07540C18"/>
    <w:rsid w:val="075752C2"/>
    <w:rsid w:val="076C4B0B"/>
    <w:rsid w:val="07797F52"/>
    <w:rsid w:val="077A39C7"/>
    <w:rsid w:val="07A022D1"/>
    <w:rsid w:val="07AE077B"/>
    <w:rsid w:val="07B225B3"/>
    <w:rsid w:val="07C05BA3"/>
    <w:rsid w:val="07C733D5"/>
    <w:rsid w:val="07C93759"/>
    <w:rsid w:val="07CA59F7"/>
    <w:rsid w:val="07CD206E"/>
    <w:rsid w:val="07D653C6"/>
    <w:rsid w:val="07F571F2"/>
    <w:rsid w:val="080261BB"/>
    <w:rsid w:val="08071A24"/>
    <w:rsid w:val="081163FE"/>
    <w:rsid w:val="08275C22"/>
    <w:rsid w:val="08314CF2"/>
    <w:rsid w:val="083E429C"/>
    <w:rsid w:val="08415963"/>
    <w:rsid w:val="08443B95"/>
    <w:rsid w:val="084474E4"/>
    <w:rsid w:val="08564759"/>
    <w:rsid w:val="087150EF"/>
    <w:rsid w:val="0881380A"/>
    <w:rsid w:val="089D52EB"/>
    <w:rsid w:val="08AB7944"/>
    <w:rsid w:val="08B33959"/>
    <w:rsid w:val="08B35E9C"/>
    <w:rsid w:val="08B84183"/>
    <w:rsid w:val="08BC61E4"/>
    <w:rsid w:val="08CD1C27"/>
    <w:rsid w:val="08DB6A0C"/>
    <w:rsid w:val="08E777FA"/>
    <w:rsid w:val="091361A6"/>
    <w:rsid w:val="091645C3"/>
    <w:rsid w:val="091A164E"/>
    <w:rsid w:val="091C7D19"/>
    <w:rsid w:val="093B323E"/>
    <w:rsid w:val="09463A32"/>
    <w:rsid w:val="094E5AEE"/>
    <w:rsid w:val="09520930"/>
    <w:rsid w:val="095B2F18"/>
    <w:rsid w:val="09603C46"/>
    <w:rsid w:val="096C0D75"/>
    <w:rsid w:val="097D08CF"/>
    <w:rsid w:val="09815806"/>
    <w:rsid w:val="098840F5"/>
    <w:rsid w:val="099D23C7"/>
    <w:rsid w:val="09BA3813"/>
    <w:rsid w:val="09BA434E"/>
    <w:rsid w:val="09C60AFA"/>
    <w:rsid w:val="09CF47C3"/>
    <w:rsid w:val="09E60EEF"/>
    <w:rsid w:val="0A037FC9"/>
    <w:rsid w:val="0A082BB8"/>
    <w:rsid w:val="0A0D5A80"/>
    <w:rsid w:val="0A142B37"/>
    <w:rsid w:val="0A252635"/>
    <w:rsid w:val="0A2A7C4B"/>
    <w:rsid w:val="0A410AF1"/>
    <w:rsid w:val="0A4D56E8"/>
    <w:rsid w:val="0A560A40"/>
    <w:rsid w:val="0A7113D6"/>
    <w:rsid w:val="0A77579A"/>
    <w:rsid w:val="0A825391"/>
    <w:rsid w:val="0A892BC4"/>
    <w:rsid w:val="0A8936B8"/>
    <w:rsid w:val="0A8B33E3"/>
    <w:rsid w:val="0A91149F"/>
    <w:rsid w:val="0AA87753"/>
    <w:rsid w:val="0AB5184B"/>
    <w:rsid w:val="0AB8648C"/>
    <w:rsid w:val="0AC428AC"/>
    <w:rsid w:val="0ACB3B96"/>
    <w:rsid w:val="0ACF0FE0"/>
    <w:rsid w:val="0AD33E3F"/>
    <w:rsid w:val="0ADA6245"/>
    <w:rsid w:val="0ADA73D9"/>
    <w:rsid w:val="0ADF479E"/>
    <w:rsid w:val="0AE31100"/>
    <w:rsid w:val="0B2550D7"/>
    <w:rsid w:val="0B451913"/>
    <w:rsid w:val="0B462863"/>
    <w:rsid w:val="0B596FC7"/>
    <w:rsid w:val="0B6F540E"/>
    <w:rsid w:val="0B732F2C"/>
    <w:rsid w:val="0B776A17"/>
    <w:rsid w:val="0B8415DD"/>
    <w:rsid w:val="0B87563F"/>
    <w:rsid w:val="0BA21950"/>
    <w:rsid w:val="0BA23811"/>
    <w:rsid w:val="0BA4594B"/>
    <w:rsid w:val="0BD51E39"/>
    <w:rsid w:val="0C0267FF"/>
    <w:rsid w:val="0C22507E"/>
    <w:rsid w:val="0C3A0FA3"/>
    <w:rsid w:val="0C3F508C"/>
    <w:rsid w:val="0C452B1A"/>
    <w:rsid w:val="0C4A1EDF"/>
    <w:rsid w:val="0C57012B"/>
    <w:rsid w:val="0C580AA0"/>
    <w:rsid w:val="0C5B0590"/>
    <w:rsid w:val="0C7347DF"/>
    <w:rsid w:val="0C945850"/>
    <w:rsid w:val="0C9C4183"/>
    <w:rsid w:val="0C9F0DCC"/>
    <w:rsid w:val="0CB2394B"/>
    <w:rsid w:val="0D0504FC"/>
    <w:rsid w:val="0D2564A8"/>
    <w:rsid w:val="0D3C79E0"/>
    <w:rsid w:val="0D3E2A60"/>
    <w:rsid w:val="0D5C6436"/>
    <w:rsid w:val="0D662D48"/>
    <w:rsid w:val="0D764493"/>
    <w:rsid w:val="0D7B4B81"/>
    <w:rsid w:val="0D94286A"/>
    <w:rsid w:val="0D961154"/>
    <w:rsid w:val="0D9C2C0E"/>
    <w:rsid w:val="0DA16476"/>
    <w:rsid w:val="0DB03D31"/>
    <w:rsid w:val="0DCA7D26"/>
    <w:rsid w:val="0DCE6B40"/>
    <w:rsid w:val="0DD04666"/>
    <w:rsid w:val="0E2D3D4C"/>
    <w:rsid w:val="0E344BF5"/>
    <w:rsid w:val="0E3A41D5"/>
    <w:rsid w:val="0E484B44"/>
    <w:rsid w:val="0E651D7B"/>
    <w:rsid w:val="0E713E18"/>
    <w:rsid w:val="0E723EAF"/>
    <w:rsid w:val="0E7D4701"/>
    <w:rsid w:val="0E8A6F0A"/>
    <w:rsid w:val="0EA55AF2"/>
    <w:rsid w:val="0EB10864"/>
    <w:rsid w:val="0EB324F1"/>
    <w:rsid w:val="0EC71F0D"/>
    <w:rsid w:val="0ED041E7"/>
    <w:rsid w:val="0ED308B1"/>
    <w:rsid w:val="0EDD1FBC"/>
    <w:rsid w:val="0EE2421E"/>
    <w:rsid w:val="0EE4486D"/>
    <w:rsid w:val="0EFD148A"/>
    <w:rsid w:val="0F00541F"/>
    <w:rsid w:val="0F08399A"/>
    <w:rsid w:val="0F0A3D06"/>
    <w:rsid w:val="0F0F3DEF"/>
    <w:rsid w:val="0F170CE4"/>
    <w:rsid w:val="0F1B2406"/>
    <w:rsid w:val="0F202B56"/>
    <w:rsid w:val="0F3155D8"/>
    <w:rsid w:val="0F355229"/>
    <w:rsid w:val="0F36499C"/>
    <w:rsid w:val="0F3B1FB3"/>
    <w:rsid w:val="0F3C2CCC"/>
    <w:rsid w:val="0F4037F7"/>
    <w:rsid w:val="0F451083"/>
    <w:rsid w:val="0F5015F1"/>
    <w:rsid w:val="0F766635"/>
    <w:rsid w:val="0F896583"/>
    <w:rsid w:val="0FCE5868"/>
    <w:rsid w:val="0FE0144F"/>
    <w:rsid w:val="0FE443F8"/>
    <w:rsid w:val="0FE74A2E"/>
    <w:rsid w:val="0FE86487"/>
    <w:rsid w:val="0FEB39D9"/>
    <w:rsid w:val="0FEB66AA"/>
    <w:rsid w:val="0FF8550A"/>
    <w:rsid w:val="103E3645"/>
    <w:rsid w:val="1041122F"/>
    <w:rsid w:val="104451E1"/>
    <w:rsid w:val="10732D18"/>
    <w:rsid w:val="107F2BE1"/>
    <w:rsid w:val="10A45570"/>
    <w:rsid w:val="10A70746"/>
    <w:rsid w:val="10B22749"/>
    <w:rsid w:val="10B47A0C"/>
    <w:rsid w:val="10BA267B"/>
    <w:rsid w:val="10CF50A9"/>
    <w:rsid w:val="10E11F33"/>
    <w:rsid w:val="10FE773C"/>
    <w:rsid w:val="11345111"/>
    <w:rsid w:val="1152788A"/>
    <w:rsid w:val="11700C9D"/>
    <w:rsid w:val="1170203B"/>
    <w:rsid w:val="11710931"/>
    <w:rsid w:val="117D67C1"/>
    <w:rsid w:val="11847C41"/>
    <w:rsid w:val="118539B9"/>
    <w:rsid w:val="118B3C6E"/>
    <w:rsid w:val="11A45E53"/>
    <w:rsid w:val="11AB6413"/>
    <w:rsid w:val="11B764FF"/>
    <w:rsid w:val="11BC7B5E"/>
    <w:rsid w:val="11BD75F7"/>
    <w:rsid w:val="11C617A4"/>
    <w:rsid w:val="11D30811"/>
    <w:rsid w:val="11DE093A"/>
    <w:rsid w:val="11E249B0"/>
    <w:rsid w:val="11EC46AD"/>
    <w:rsid w:val="11F76FAE"/>
    <w:rsid w:val="11F92548"/>
    <w:rsid w:val="120974DE"/>
    <w:rsid w:val="121D64FF"/>
    <w:rsid w:val="122D05BF"/>
    <w:rsid w:val="12357D06"/>
    <w:rsid w:val="1259529F"/>
    <w:rsid w:val="126432EC"/>
    <w:rsid w:val="12716683"/>
    <w:rsid w:val="1281306D"/>
    <w:rsid w:val="12900868"/>
    <w:rsid w:val="129E100C"/>
    <w:rsid w:val="12A04F4F"/>
    <w:rsid w:val="12A10CC7"/>
    <w:rsid w:val="12B04A66"/>
    <w:rsid w:val="12BD32AD"/>
    <w:rsid w:val="12C30C3D"/>
    <w:rsid w:val="12C3574C"/>
    <w:rsid w:val="12CF7531"/>
    <w:rsid w:val="12CF7DC6"/>
    <w:rsid w:val="12D040F6"/>
    <w:rsid w:val="12D73CA7"/>
    <w:rsid w:val="12D90460"/>
    <w:rsid w:val="12DB58BA"/>
    <w:rsid w:val="12E1262D"/>
    <w:rsid w:val="12E574E7"/>
    <w:rsid w:val="12E84200"/>
    <w:rsid w:val="12EA7F78"/>
    <w:rsid w:val="12EB09BD"/>
    <w:rsid w:val="12FF694D"/>
    <w:rsid w:val="1310023E"/>
    <w:rsid w:val="13182D37"/>
    <w:rsid w:val="131E03BE"/>
    <w:rsid w:val="1322184B"/>
    <w:rsid w:val="1325449E"/>
    <w:rsid w:val="13275EB4"/>
    <w:rsid w:val="1332191F"/>
    <w:rsid w:val="13433B2C"/>
    <w:rsid w:val="134A0A16"/>
    <w:rsid w:val="134F427F"/>
    <w:rsid w:val="13551E97"/>
    <w:rsid w:val="13737809"/>
    <w:rsid w:val="13963681"/>
    <w:rsid w:val="139B5716"/>
    <w:rsid w:val="13A10F7E"/>
    <w:rsid w:val="13A520F1"/>
    <w:rsid w:val="13BB6A2C"/>
    <w:rsid w:val="13BC5DB8"/>
    <w:rsid w:val="13D01D15"/>
    <w:rsid w:val="13D35FD9"/>
    <w:rsid w:val="14041748"/>
    <w:rsid w:val="141554C8"/>
    <w:rsid w:val="14300D02"/>
    <w:rsid w:val="143F2545"/>
    <w:rsid w:val="14551D69"/>
    <w:rsid w:val="145609C7"/>
    <w:rsid w:val="14681A9C"/>
    <w:rsid w:val="146B34F2"/>
    <w:rsid w:val="149D163D"/>
    <w:rsid w:val="14A71A37"/>
    <w:rsid w:val="14AD5701"/>
    <w:rsid w:val="14BB6070"/>
    <w:rsid w:val="14C05F33"/>
    <w:rsid w:val="14CA62B3"/>
    <w:rsid w:val="14DC515F"/>
    <w:rsid w:val="14E4326E"/>
    <w:rsid w:val="14F50E56"/>
    <w:rsid w:val="15035321"/>
    <w:rsid w:val="15051434"/>
    <w:rsid w:val="151B5846"/>
    <w:rsid w:val="15273705"/>
    <w:rsid w:val="153C06B0"/>
    <w:rsid w:val="15425706"/>
    <w:rsid w:val="155F261E"/>
    <w:rsid w:val="1562315C"/>
    <w:rsid w:val="15744470"/>
    <w:rsid w:val="15756AB6"/>
    <w:rsid w:val="15782754"/>
    <w:rsid w:val="15785D0F"/>
    <w:rsid w:val="15920B98"/>
    <w:rsid w:val="15A5287C"/>
    <w:rsid w:val="15B871E8"/>
    <w:rsid w:val="15C63E49"/>
    <w:rsid w:val="15D373E9"/>
    <w:rsid w:val="15D8055B"/>
    <w:rsid w:val="15E01121"/>
    <w:rsid w:val="15EB4733"/>
    <w:rsid w:val="15F555B1"/>
    <w:rsid w:val="16043310"/>
    <w:rsid w:val="16085A2A"/>
    <w:rsid w:val="162B0FD3"/>
    <w:rsid w:val="164A5BB0"/>
    <w:rsid w:val="16655D64"/>
    <w:rsid w:val="166E2C6E"/>
    <w:rsid w:val="167C182F"/>
    <w:rsid w:val="167C538B"/>
    <w:rsid w:val="16AF39B2"/>
    <w:rsid w:val="16B568F7"/>
    <w:rsid w:val="16B93C69"/>
    <w:rsid w:val="16D03928"/>
    <w:rsid w:val="16D13CC1"/>
    <w:rsid w:val="170A508C"/>
    <w:rsid w:val="170D692B"/>
    <w:rsid w:val="170E2A9B"/>
    <w:rsid w:val="171750B3"/>
    <w:rsid w:val="17366C16"/>
    <w:rsid w:val="173F7E69"/>
    <w:rsid w:val="176E561B"/>
    <w:rsid w:val="17710C68"/>
    <w:rsid w:val="17712A16"/>
    <w:rsid w:val="17870423"/>
    <w:rsid w:val="178C0FFB"/>
    <w:rsid w:val="178E4687"/>
    <w:rsid w:val="179404B3"/>
    <w:rsid w:val="179A0012"/>
    <w:rsid w:val="17B959D5"/>
    <w:rsid w:val="17D82759"/>
    <w:rsid w:val="17DF7A33"/>
    <w:rsid w:val="17E458DD"/>
    <w:rsid w:val="17F13B56"/>
    <w:rsid w:val="17F36595"/>
    <w:rsid w:val="181D494B"/>
    <w:rsid w:val="182B3270"/>
    <w:rsid w:val="182B350C"/>
    <w:rsid w:val="18366E44"/>
    <w:rsid w:val="184C3483"/>
    <w:rsid w:val="185145F5"/>
    <w:rsid w:val="185F261E"/>
    <w:rsid w:val="18614979"/>
    <w:rsid w:val="186E51A7"/>
    <w:rsid w:val="18730A0F"/>
    <w:rsid w:val="18814EDA"/>
    <w:rsid w:val="1888270D"/>
    <w:rsid w:val="1890336F"/>
    <w:rsid w:val="18936070"/>
    <w:rsid w:val="189D5A8C"/>
    <w:rsid w:val="18A1557C"/>
    <w:rsid w:val="18AF1115"/>
    <w:rsid w:val="18AF5EEB"/>
    <w:rsid w:val="18B55E30"/>
    <w:rsid w:val="18B565F3"/>
    <w:rsid w:val="18C80D5B"/>
    <w:rsid w:val="18D67D4B"/>
    <w:rsid w:val="18DA5013"/>
    <w:rsid w:val="18E2049C"/>
    <w:rsid w:val="190C4972"/>
    <w:rsid w:val="190D2C12"/>
    <w:rsid w:val="19242D70"/>
    <w:rsid w:val="192561AE"/>
    <w:rsid w:val="192C753C"/>
    <w:rsid w:val="194505FE"/>
    <w:rsid w:val="1950798B"/>
    <w:rsid w:val="19541D09"/>
    <w:rsid w:val="196D53D3"/>
    <w:rsid w:val="196F7C48"/>
    <w:rsid w:val="198E5EAA"/>
    <w:rsid w:val="19AA0461"/>
    <w:rsid w:val="19DE08E1"/>
    <w:rsid w:val="19E716B5"/>
    <w:rsid w:val="19F21147"/>
    <w:rsid w:val="19F626A8"/>
    <w:rsid w:val="1A075CCE"/>
    <w:rsid w:val="1A135A6C"/>
    <w:rsid w:val="1A342318"/>
    <w:rsid w:val="1A3A17E5"/>
    <w:rsid w:val="1A67418D"/>
    <w:rsid w:val="1A690E03"/>
    <w:rsid w:val="1A6A1B72"/>
    <w:rsid w:val="1A737011"/>
    <w:rsid w:val="1A7D3DC7"/>
    <w:rsid w:val="1A7F5840"/>
    <w:rsid w:val="1AA4436E"/>
    <w:rsid w:val="1ABC669E"/>
    <w:rsid w:val="1AC437A4"/>
    <w:rsid w:val="1AD17069"/>
    <w:rsid w:val="1AF916A0"/>
    <w:rsid w:val="1AFF47DC"/>
    <w:rsid w:val="1B0450EC"/>
    <w:rsid w:val="1B071977"/>
    <w:rsid w:val="1B083691"/>
    <w:rsid w:val="1B124510"/>
    <w:rsid w:val="1B1738D4"/>
    <w:rsid w:val="1B280793"/>
    <w:rsid w:val="1B3332A2"/>
    <w:rsid w:val="1B3C501B"/>
    <w:rsid w:val="1B48103D"/>
    <w:rsid w:val="1B682381"/>
    <w:rsid w:val="1B692DF0"/>
    <w:rsid w:val="1B6C2F8A"/>
    <w:rsid w:val="1B7156DA"/>
    <w:rsid w:val="1B7A7E1A"/>
    <w:rsid w:val="1B815EF0"/>
    <w:rsid w:val="1B8371BB"/>
    <w:rsid w:val="1B920C1A"/>
    <w:rsid w:val="1BC95DC0"/>
    <w:rsid w:val="1BE834C2"/>
    <w:rsid w:val="1BEA5CA5"/>
    <w:rsid w:val="1BFE7D42"/>
    <w:rsid w:val="1C0506EF"/>
    <w:rsid w:val="1C093063"/>
    <w:rsid w:val="1C1619F8"/>
    <w:rsid w:val="1C263045"/>
    <w:rsid w:val="1C3252EF"/>
    <w:rsid w:val="1C3547CA"/>
    <w:rsid w:val="1C3A1F70"/>
    <w:rsid w:val="1C422C5A"/>
    <w:rsid w:val="1C4E1577"/>
    <w:rsid w:val="1C5E3712"/>
    <w:rsid w:val="1C5F3784"/>
    <w:rsid w:val="1C6C3EE5"/>
    <w:rsid w:val="1C6F7990"/>
    <w:rsid w:val="1C737230"/>
    <w:rsid w:val="1C760ACE"/>
    <w:rsid w:val="1C913B5A"/>
    <w:rsid w:val="1C9B3115"/>
    <w:rsid w:val="1CA90EA4"/>
    <w:rsid w:val="1CC679C1"/>
    <w:rsid w:val="1CC7132A"/>
    <w:rsid w:val="1CE73CAA"/>
    <w:rsid w:val="1CEE68B6"/>
    <w:rsid w:val="1CF972A0"/>
    <w:rsid w:val="1CFF2872"/>
    <w:rsid w:val="1CFF6D16"/>
    <w:rsid w:val="1D09079A"/>
    <w:rsid w:val="1D464944"/>
    <w:rsid w:val="1D4A4435"/>
    <w:rsid w:val="1D4A595D"/>
    <w:rsid w:val="1D555684"/>
    <w:rsid w:val="1D850B59"/>
    <w:rsid w:val="1D8974D5"/>
    <w:rsid w:val="1DA55CEE"/>
    <w:rsid w:val="1DAA504A"/>
    <w:rsid w:val="1DAB5FC4"/>
    <w:rsid w:val="1DB60CCE"/>
    <w:rsid w:val="1DC17078"/>
    <w:rsid w:val="1DCB49A2"/>
    <w:rsid w:val="1DD25E6F"/>
    <w:rsid w:val="1DD91315"/>
    <w:rsid w:val="1DDD1AC2"/>
    <w:rsid w:val="1DE61FBB"/>
    <w:rsid w:val="1DF9705F"/>
    <w:rsid w:val="1DFB74DD"/>
    <w:rsid w:val="1DFC3255"/>
    <w:rsid w:val="1E0068A1"/>
    <w:rsid w:val="1E067C30"/>
    <w:rsid w:val="1E0D4FE2"/>
    <w:rsid w:val="1E122A78"/>
    <w:rsid w:val="1E222CBC"/>
    <w:rsid w:val="1E2F46B9"/>
    <w:rsid w:val="1E3D58FC"/>
    <w:rsid w:val="1E4D585F"/>
    <w:rsid w:val="1E7A2AF8"/>
    <w:rsid w:val="1E7E1EBC"/>
    <w:rsid w:val="1E9D67E6"/>
    <w:rsid w:val="1EAA6A05"/>
    <w:rsid w:val="1EB3600A"/>
    <w:rsid w:val="1EB9506A"/>
    <w:rsid w:val="1EBC0C62"/>
    <w:rsid w:val="1ED02718"/>
    <w:rsid w:val="1EDD4E34"/>
    <w:rsid w:val="1EDF6DFF"/>
    <w:rsid w:val="1EE47E9B"/>
    <w:rsid w:val="1EF2247E"/>
    <w:rsid w:val="1EF67CA4"/>
    <w:rsid w:val="1EF94606"/>
    <w:rsid w:val="1F0D6699"/>
    <w:rsid w:val="1F1D7584"/>
    <w:rsid w:val="1F42233E"/>
    <w:rsid w:val="1F633721"/>
    <w:rsid w:val="1F7C1A84"/>
    <w:rsid w:val="1F9E20EC"/>
    <w:rsid w:val="1F9F17AB"/>
    <w:rsid w:val="1FA2402F"/>
    <w:rsid w:val="1FA743A6"/>
    <w:rsid w:val="1FB5190D"/>
    <w:rsid w:val="1FC0502D"/>
    <w:rsid w:val="1FD432CA"/>
    <w:rsid w:val="1FEF3071"/>
    <w:rsid w:val="201F100A"/>
    <w:rsid w:val="2043516B"/>
    <w:rsid w:val="206C021E"/>
    <w:rsid w:val="206D1F52"/>
    <w:rsid w:val="207B1AEE"/>
    <w:rsid w:val="208E288A"/>
    <w:rsid w:val="20947C87"/>
    <w:rsid w:val="20B371F1"/>
    <w:rsid w:val="20C46EEA"/>
    <w:rsid w:val="20C75D9C"/>
    <w:rsid w:val="20D64231"/>
    <w:rsid w:val="20D8447A"/>
    <w:rsid w:val="20DB5926"/>
    <w:rsid w:val="21034070"/>
    <w:rsid w:val="21181B06"/>
    <w:rsid w:val="21313216"/>
    <w:rsid w:val="2155131F"/>
    <w:rsid w:val="21627CEE"/>
    <w:rsid w:val="216E04B7"/>
    <w:rsid w:val="217A696B"/>
    <w:rsid w:val="217E2260"/>
    <w:rsid w:val="218872DA"/>
    <w:rsid w:val="218C17A2"/>
    <w:rsid w:val="21E07116"/>
    <w:rsid w:val="21F32853"/>
    <w:rsid w:val="21F66939"/>
    <w:rsid w:val="21FC245C"/>
    <w:rsid w:val="220D7A1C"/>
    <w:rsid w:val="22370C64"/>
    <w:rsid w:val="22396826"/>
    <w:rsid w:val="224F429B"/>
    <w:rsid w:val="225643FA"/>
    <w:rsid w:val="22567180"/>
    <w:rsid w:val="22792375"/>
    <w:rsid w:val="22833724"/>
    <w:rsid w:val="22985E5B"/>
    <w:rsid w:val="22B40FB5"/>
    <w:rsid w:val="22B46915"/>
    <w:rsid w:val="22BC6C0E"/>
    <w:rsid w:val="22C85FA2"/>
    <w:rsid w:val="22CE4DDA"/>
    <w:rsid w:val="22D26738"/>
    <w:rsid w:val="22D8603F"/>
    <w:rsid w:val="22F62969"/>
    <w:rsid w:val="230230BC"/>
    <w:rsid w:val="23302429"/>
    <w:rsid w:val="23362D65"/>
    <w:rsid w:val="234B4A63"/>
    <w:rsid w:val="23543621"/>
    <w:rsid w:val="23551368"/>
    <w:rsid w:val="236972A7"/>
    <w:rsid w:val="236C49D9"/>
    <w:rsid w:val="23A40A24"/>
    <w:rsid w:val="23AC5029"/>
    <w:rsid w:val="23AF6F28"/>
    <w:rsid w:val="23CD5689"/>
    <w:rsid w:val="23DC56BB"/>
    <w:rsid w:val="23DF33FD"/>
    <w:rsid w:val="23E10CAE"/>
    <w:rsid w:val="23E34C9B"/>
    <w:rsid w:val="23E93B1D"/>
    <w:rsid w:val="24007114"/>
    <w:rsid w:val="240B5896"/>
    <w:rsid w:val="240E7CB4"/>
    <w:rsid w:val="240F1950"/>
    <w:rsid w:val="24123D55"/>
    <w:rsid w:val="24314D08"/>
    <w:rsid w:val="24363929"/>
    <w:rsid w:val="24637622"/>
    <w:rsid w:val="24750049"/>
    <w:rsid w:val="248E5D5A"/>
    <w:rsid w:val="24A02B8C"/>
    <w:rsid w:val="24A23C10"/>
    <w:rsid w:val="24A85EE5"/>
    <w:rsid w:val="24B01390"/>
    <w:rsid w:val="24B623B0"/>
    <w:rsid w:val="24CA7C09"/>
    <w:rsid w:val="24F8007B"/>
    <w:rsid w:val="25026538"/>
    <w:rsid w:val="251470D6"/>
    <w:rsid w:val="251B2213"/>
    <w:rsid w:val="252D607A"/>
    <w:rsid w:val="25311A36"/>
    <w:rsid w:val="25325DA8"/>
    <w:rsid w:val="25407ECB"/>
    <w:rsid w:val="254F4C95"/>
    <w:rsid w:val="25545575"/>
    <w:rsid w:val="255552BB"/>
    <w:rsid w:val="258B169E"/>
    <w:rsid w:val="25D725DE"/>
    <w:rsid w:val="25F34F3E"/>
    <w:rsid w:val="26093E93"/>
    <w:rsid w:val="261337E4"/>
    <w:rsid w:val="26296BB1"/>
    <w:rsid w:val="26453AE7"/>
    <w:rsid w:val="264B2FCC"/>
    <w:rsid w:val="265A320F"/>
    <w:rsid w:val="2681765C"/>
    <w:rsid w:val="268D7140"/>
    <w:rsid w:val="2690746F"/>
    <w:rsid w:val="26921F56"/>
    <w:rsid w:val="26B91CE3"/>
    <w:rsid w:val="26BE19EF"/>
    <w:rsid w:val="26C44B8D"/>
    <w:rsid w:val="26CD0D4E"/>
    <w:rsid w:val="26DD4875"/>
    <w:rsid w:val="26DE5BEE"/>
    <w:rsid w:val="26F86CDF"/>
    <w:rsid w:val="270D202F"/>
    <w:rsid w:val="27127645"/>
    <w:rsid w:val="274475A8"/>
    <w:rsid w:val="27497B0D"/>
    <w:rsid w:val="275B2D9A"/>
    <w:rsid w:val="279B588D"/>
    <w:rsid w:val="27AB1058"/>
    <w:rsid w:val="27BB35CB"/>
    <w:rsid w:val="27C050E9"/>
    <w:rsid w:val="27CC5A46"/>
    <w:rsid w:val="27D36DD5"/>
    <w:rsid w:val="27DF5779"/>
    <w:rsid w:val="27E84A3B"/>
    <w:rsid w:val="27F14533"/>
    <w:rsid w:val="27F60D15"/>
    <w:rsid w:val="28034AB8"/>
    <w:rsid w:val="281A4A03"/>
    <w:rsid w:val="281E6E30"/>
    <w:rsid w:val="282B6C11"/>
    <w:rsid w:val="282E40F6"/>
    <w:rsid w:val="282F7952"/>
    <w:rsid w:val="284E28FF"/>
    <w:rsid w:val="284F0F63"/>
    <w:rsid w:val="285340D7"/>
    <w:rsid w:val="286A2C46"/>
    <w:rsid w:val="287507F3"/>
    <w:rsid w:val="288A170F"/>
    <w:rsid w:val="288D1679"/>
    <w:rsid w:val="28AF736E"/>
    <w:rsid w:val="28BF389E"/>
    <w:rsid w:val="28D177B8"/>
    <w:rsid w:val="28E219C5"/>
    <w:rsid w:val="28EC603B"/>
    <w:rsid w:val="28F314C2"/>
    <w:rsid w:val="28FE2577"/>
    <w:rsid w:val="290E3212"/>
    <w:rsid w:val="2916166F"/>
    <w:rsid w:val="293643CA"/>
    <w:rsid w:val="2939535D"/>
    <w:rsid w:val="29583A35"/>
    <w:rsid w:val="295B3886"/>
    <w:rsid w:val="295D000E"/>
    <w:rsid w:val="29852351"/>
    <w:rsid w:val="299C4B32"/>
    <w:rsid w:val="29C015DB"/>
    <w:rsid w:val="29D9177A"/>
    <w:rsid w:val="29DF0239"/>
    <w:rsid w:val="29E5632B"/>
    <w:rsid w:val="29FD45DD"/>
    <w:rsid w:val="2A014E49"/>
    <w:rsid w:val="2A1C0F07"/>
    <w:rsid w:val="2A401020"/>
    <w:rsid w:val="2A761DBA"/>
    <w:rsid w:val="2A810B90"/>
    <w:rsid w:val="2A8A2314"/>
    <w:rsid w:val="2A8D3BB3"/>
    <w:rsid w:val="2A8F792B"/>
    <w:rsid w:val="2AAE58D7"/>
    <w:rsid w:val="2AB1731B"/>
    <w:rsid w:val="2AC0137B"/>
    <w:rsid w:val="2AC05662"/>
    <w:rsid w:val="2ADD694A"/>
    <w:rsid w:val="2AE615FC"/>
    <w:rsid w:val="2AEA2A42"/>
    <w:rsid w:val="2AFD69F6"/>
    <w:rsid w:val="2B01697D"/>
    <w:rsid w:val="2B095A19"/>
    <w:rsid w:val="2B0C089D"/>
    <w:rsid w:val="2B153547"/>
    <w:rsid w:val="2B3E30FF"/>
    <w:rsid w:val="2B683CD8"/>
    <w:rsid w:val="2B6F16B3"/>
    <w:rsid w:val="2B9427EC"/>
    <w:rsid w:val="2B9B40AD"/>
    <w:rsid w:val="2BA00A42"/>
    <w:rsid w:val="2BA64EDD"/>
    <w:rsid w:val="2BB138D1"/>
    <w:rsid w:val="2BC52520"/>
    <w:rsid w:val="2BCD4B2E"/>
    <w:rsid w:val="2BF221B9"/>
    <w:rsid w:val="2C027C88"/>
    <w:rsid w:val="2C0954BB"/>
    <w:rsid w:val="2C110EBE"/>
    <w:rsid w:val="2C1125C1"/>
    <w:rsid w:val="2C171E95"/>
    <w:rsid w:val="2C302A48"/>
    <w:rsid w:val="2C4117AD"/>
    <w:rsid w:val="2C493B09"/>
    <w:rsid w:val="2C672AF3"/>
    <w:rsid w:val="2C7406CA"/>
    <w:rsid w:val="2C7F39CF"/>
    <w:rsid w:val="2C873F73"/>
    <w:rsid w:val="2CB51EAA"/>
    <w:rsid w:val="2CC70C66"/>
    <w:rsid w:val="2CD56B9F"/>
    <w:rsid w:val="2CD62ABE"/>
    <w:rsid w:val="2CEB4BC0"/>
    <w:rsid w:val="2CFA41B2"/>
    <w:rsid w:val="2D021752"/>
    <w:rsid w:val="2D2B1461"/>
    <w:rsid w:val="2D3349ED"/>
    <w:rsid w:val="2D394FB4"/>
    <w:rsid w:val="2D481950"/>
    <w:rsid w:val="2D5A5749"/>
    <w:rsid w:val="2D662033"/>
    <w:rsid w:val="2D8F19F0"/>
    <w:rsid w:val="2D9A6226"/>
    <w:rsid w:val="2DA575A2"/>
    <w:rsid w:val="2DA84860"/>
    <w:rsid w:val="2DC373FE"/>
    <w:rsid w:val="2DD63E4F"/>
    <w:rsid w:val="2DF14458"/>
    <w:rsid w:val="2E1F0815"/>
    <w:rsid w:val="2E2B2C2B"/>
    <w:rsid w:val="2E347DC2"/>
    <w:rsid w:val="2E3D3F34"/>
    <w:rsid w:val="2E514EF7"/>
    <w:rsid w:val="2E5203B7"/>
    <w:rsid w:val="2E5642BC"/>
    <w:rsid w:val="2E78790B"/>
    <w:rsid w:val="2E861045"/>
    <w:rsid w:val="2E862DF3"/>
    <w:rsid w:val="2E927DD5"/>
    <w:rsid w:val="2E960677"/>
    <w:rsid w:val="2E9848D4"/>
    <w:rsid w:val="2ED01C84"/>
    <w:rsid w:val="2ED33B5E"/>
    <w:rsid w:val="2EE7367D"/>
    <w:rsid w:val="2EF1616F"/>
    <w:rsid w:val="2EF45E6B"/>
    <w:rsid w:val="2F0E600A"/>
    <w:rsid w:val="2F1F664F"/>
    <w:rsid w:val="2F2D6289"/>
    <w:rsid w:val="2F510AD5"/>
    <w:rsid w:val="2F581822"/>
    <w:rsid w:val="2F5E7BCA"/>
    <w:rsid w:val="2F636124"/>
    <w:rsid w:val="2F6656AC"/>
    <w:rsid w:val="2F6F7D2B"/>
    <w:rsid w:val="2F792957"/>
    <w:rsid w:val="2F84262D"/>
    <w:rsid w:val="2F866E22"/>
    <w:rsid w:val="2F8D6403"/>
    <w:rsid w:val="2F9C3B3B"/>
    <w:rsid w:val="2FB35E69"/>
    <w:rsid w:val="2FBB2F70"/>
    <w:rsid w:val="2FDD4C94"/>
    <w:rsid w:val="300C1535"/>
    <w:rsid w:val="30101AB8"/>
    <w:rsid w:val="30162024"/>
    <w:rsid w:val="30191A45"/>
    <w:rsid w:val="3049057C"/>
    <w:rsid w:val="305D4027"/>
    <w:rsid w:val="306B00DD"/>
    <w:rsid w:val="3075448F"/>
    <w:rsid w:val="30B00A0B"/>
    <w:rsid w:val="30B6192E"/>
    <w:rsid w:val="30D93836"/>
    <w:rsid w:val="30DB6CFA"/>
    <w:rsid w:val="30E4103D"/>
    <w:rsid w:val="30E6401D"/>
    <w:rsid w:val="30EE1123"/>
    <w:rsid w:val="30FD53D5"/>
    <w:rsid w:val="31074378"/>
    <w:rsid w:val="311179CB"/>
    <w:rsid w:val="311925B5"/>
    <w:rsid w:val="311C359A"/>
    <w:rsid w:val="312011A7"/>
    <w:rsid w:val="31246C73"/>
    <w:rsid w:val="31342FDA"/>
    <w:rsid w:val="31356AA2"/>
    <w:rsid w:val="314174A5"/>
    <w:rsid w:val="31441CDC"/>
    <w:rsid w:val="315E12D7"/>
    <w:rsid w:val="31623C2C"/>
    <w:rsid w:val="316A0B8B"/>
    <w:rsid w:val="31857392"/>
    <w:rsid w:val="319C5C15"/>
    <w:rsid w:val="31A35A6A"/>
    <w:rsid w:val="31A37A0A"/>
    <w:rsid w:val="31A43590"/>
    <w:rsid w:val="31CA605B"/>
    <w:rsid w:val="31D75713"/>
    <w:rsid w:val="31D81A0B"/>
    <w:rsid w:val="31E3055C"/>
    <w:rsid w:val="31F8169F"/>
    <w:rsid w:val="32244DFC"/>
    <w:rsid w:val="32277884"/>
    <w:rsid w:val="3239017C"/>
    <w:rsid w:val="323F3552"/>
    <w:rsid w:val="32421F1E"/>
    <w:rsid w:val="32543208"/>
    <w:rsid w:val="325A6A70"/>
    <w:rsid w:val="32600262"/>
    <w:rsid w:val="32700D94"/>
    <w:rsid w:val="328B4E7C"/>
    <w:rsid w:val="328C0BF4"/>
    <w:rsid w:val="3291620A"/>
    <w:rsid w:val="329F0927"/>
    <w:rsid w:val="329F6A9C"/>
    <w:rsid w:val="32A07123"/>
    <w:rsid w:val="32A64268"/>
    <w:rsid w:val="32B141B6"/>
    <w:rsid w:val="32BC3B93"/>
    <w:rsid w:val="32CE38C8"/>
    <w:rsid w:val="32EB1476"/>
    <w:rsid w:val="32F845BA"/>
    <w:rsid w:val="3301513E"/>
    <w:rsid w:val="331B28EC"/>
    <w:rsid w:val="33353039"/>
    <w:rsid w:val="334F2361"/>
    <w:rsid w:val="33957634"/>
    <w:rsid w:val="339E4CDB"/>
    <w:rsid w:val="33C34AB8"/>
    <w:rsid w:val="33C54BED"/>
    <w:rsid w:val="33C97CCD"/>
    <w:rsid w:val="33D71898"/>
    <w:rsid w:val="33D939C5"/>
    <w:rsid w:val="33E46F53"/>
    <w:rsid w:val="33F52508"/>
    <w:rsid w:val="340824FC"/>
    <w:rsid w:val="341B5D8B"/>
    <w:rsid w:val="342E0AA1"/>
    <w:rsid w:val="34311A53"/>
    <w:rsid w:val="343C131B"/>
    <w:rsid w:val="343D2D7D"/>
    <w:rsid w:val="344D7F0F"/>
    <w:rsid w:val="34523B34"/>
    <w:rsid w:val="34645984"/>
    <w:rsid w:val="34781430"/>
    <w:rsid w:val="34793527"/>
    <w:rsid w:val="34795655"/>
    <w:rsid w:val="348A30B2"/>
    <w:rsid w:val="348B1BD9"/>
    <w:rsid w:val="34951FE2"/>
    <w:rsid w:val="349F4C0E"/>
    <w:rsid w:val="34A71D15"/>
    <w:rsid w:val="34A97D29"/>
    <w:rsid w:val="34B51AA6"/>
    <w:rsid w:val="34C70134"/>
    <w:rsid w:val="34D85CAB"/>
    <w:rsid w:val="34E3482D"/>
    <w:rsid w:val="34E73EBF"/>
    <w:rsid w:val="34EA3EDA"/>
    <w:rsid w:val="34EC3BCC"/>
    <w:rsid w:val="34F023D4"/>
    <w:rsid w:val="34F95B7D"/>
    <w:rsid w:val="34FB5E9D"/>
    <w:rsid w:val="350C1B78"/>
    <w:rsid w:val="3538471B"/>
    <w:rsid w:val="35417A9A"/>
    <w:rsid w:val="3547298C"/>
    <w:rsid w:val="354F72C2"/>
    <w:rsid w:val="35A30C56"/>
    <w:rsid w:val="35AC42B2"/>
    <w:rsid w:val="35BC359E"/>
    <w:rsid w:val="35CD57AB"/>
    <w:rsid w:val="35CF0EFE"/>
    <w:rsid w:val="35D5347F"/>
    <w:rsid w:val="35DB73F4"/>
    <w:rsid w:val="35DE52C2"/>
    <w:rsid w:val="36054F45"/>
    <w:rsid w:val="360B1838"/>
    <w:rsid w:val="361F4C04"/>
    <w:rsid w:val="362073B7"/>
    <w:rsid w:val="362D674C"/>
    <w:rsid w:val="362F5B1E"/>
    <w:rsid w:val="36534DE6"/>
    <w:rsid w:val="366D72D1"/>
    <w:rsid w:val="367862A9"/>
    <w:rsid w:val="367F6E43"/>
    <w:rsid w:val="36827A9A"/>
    <w:rsid w:val="36973856"/>
    <w:rsid w:val="36981816"/>
    <w:rsid w:val="369E2CA4"/>
    <w:rsid w:val="36A258F7"/>
    <w:rsid w:val="36AE61D2"/>
    <w:rsid w:val="36C03D95"/>
    <w:rsid w:val="36EC7628"/>
    <w:rsid w:val="36ED7159"/>
    <w:rsid w:val="36F6488E"/>
    <w:rsid w:val="36F823B4"/>
    <w:rsid w:val="36F9556D"/>
    <w:rsid w:val="36FF5299"/>
    <w:rsid w:val="370276D6"/>
    <w:rsid w:val="3705131E"/>
    <w:rsid w:val="37217B5C"/>
    <w:rsid w:val="3733354A"/>
    <w:rsid w:val="37386C54"/>
    <w:rsid w:val="373D24BC"/>
    <w:rsid w:val="374675C3"/>
    <w:rsid w:val="374A56CB"/>
    <w:rsid w:val="374D6BA3"/>
    <w:rsid w:val="37541E99"/>
    <w:rsid w:val="37565AE4"/>
    <w:rsid w:val="376B403E"/>
    <w:rsid w:val="37865C12"/>
    <w:rsid w:val="37887BDC"/>
    <w:rsid w:val="37A43441"/>
    <w:rsid w:val="37A662B4"/>
    <w:rsid w:val="37B919E8"/>
    <w:rsid w:val="37C16DD3"/>
    <w:rsid w:val="37DA41AF"/>
    <w:rsid w:val="37DE0B64"/>
    <w:rsid w:val="37DE5A4E"/>
    <w:rsid w:val="37E1109A"/>
    <w:rsid w:val="37E2777C"/>
    <w:rsid w:val="37F232A7"/>
    <w:rsid w:val="37F45271"/>
    <w:rsid w:val="37FD508B"/>
    <w:rsid w:val="38037262"/>
    <w:rsid w:val="38044F0A"/>
    <w:rsid w:val="381E54CF"/>
    <w:rsid w:val="38284F1B"/>
    <w:rsid w:val="382A7EF4"/>
    <w:rsid w:val="382F111E"/>
    <w:rsid w:val="38355D28"/>
    <w:rsid w:val="384F06F9"/>
    <w:rsid w:val="385D3071"/>
    <w:rsid w:val="3885692E"/>
    <w:rsid w:val="38991974"/>
    <w:rsid w:val="389C0E5A"/>
    <w:rsid w:val="389D4E9A"/>
    <w:rsid w:val="38A327F3"/>
    <w:rsid w:val="38A93EEB"/>
    <w:rsid w:val="38B43B1A"/>
    <w:rsid w:val="38B60050"/>
    <w:rsid w:val="38CE5AC2"/>
    <w:rsid w:val="38E76354"/>
    <w:rsid w:val="39162FC5"/>
    <w:rsid w:val="391E7F16"/>
    <w:rsid w:val="392B0ED4"/>
    <w:rsid w:val="394B7113"/>
    <w:rsid w:val="39661D34"/>
    <w:rsid w:val="39706B79"/>
    <w:rsid w:val="39763A64"/>
    <w:rsid w:val="39893797"/>
    <w:rsid w:val="398A112D"/>
    <w:rsid w:val="3991066C"/>
    <w:rsid w:val="39A20CFD"/>
    <w:rsid w:val="39B06F76"/>
    <w:rsid w:val="39CB0253"/>
    <w:rsid w:val="39DC5FBD"/>
    <w:rsid w:val="39E60BE9"/>
    <w:rsid w:val="39EF2EC9"/>
    <w:rsid w:val="3A0247E9"/>
    <w:rsid w:val="3A0E1EEE"/>
    <w:rsid w:val="3A145757"/>
    <w:rsid w:val="3A190FBF"/>
    <w:rsid w:val="3A2F7245"/>
    <w:rsid w:val="3A3079D3"/>
    <w:rsid w:val="3A486BDF"/>
    <w:rsid w:val="3A570A39"/>
    <w:rsid w:val="3A606BEE"/>
    <w:rsid w:val="3A765BDF"/>
    <w:rsid w:val="3A8B5ACA"/>
    <w:rsid w:val="3A993EAE"/>
    <w:rsid w:val="3AC802EF"/>
    <w:rsid w:val="3ADD1FEC"/>
    <w:rsid w:val="3AE060B3"/>
    <w:rsid w:val="3AED1F5E"/>
    <w:rsid w:val="3AF40F6C"/>
    <w:rsid w:val="3AF525A4"/>
    <w:rsid w:val="3AF52A16"/>
    <w:rsid w:val="3AFA0DF0"/>
    <w:rsid w:val="3B0C4F57"/>
    <w:rsid w:val="3B133290"/>
    <w:rsid w:val="3B2312F0"/>
    <w:rsid w:val="3B3B31B7"/>
    <w:rsid w:val="3B3D2A8B"/>
    <w:rsid w:val="3B4F71FF"/>
    <w:rsid w:val="3B516536"/>
    <w:rsid w:val="3B6401F8"/>
    <w:rsid w:val="3B697D24"/>
    <w:rsid w:val="3B7316C5"/>
    <w:rsid w:val="3B7A5A8D"/>
    <w:rsid w:val="3B8A37F6"/>
    <w:rsid w:val="3B9A09AC"/>
    <w:rsid w:val="3BA5420C"/>
    <w:rsid w:val="3BB16FD5"/>
    <w:rsid w:val="3BBE6512"/>
    <w:rsid w:val="3BC84B0A"/>
    <w:rsid w:val="3BDF3B42"/>
    <w:rsid w:val="3BE41159"/>
    <w:rsid w:val="3BF13876"/>
    <w:rsid w:val="3BF27D19"/>
    <w:rsid w:val="3C016AC0"/>
    <w:rsid w:val="3C153A08"/>
    <w:rsid w:val="3C23235F"/>
    <w:rsid w:val="3C2F66A2"/>
    <w:rsid w:val="3C300842"/>
    <w:rsid w:val="3C395948"/>
    <w:rsid w:val="3C3F0A85"/>
    <w:rsid w:val="3C5462DE"/>
    <w:rsid w:val="3C7D2541"/>
    <w:rsid w:val="3C812E4B"/>
    <w:rsid w:val="3C8935A0"/>
    <w:rsid w:val="3C8B6ACE"/>
    <w:rsid w:val="3C900D68"/>
    <w:rsid w:val="3C945025"/>
    <w:rsid w:val="3CCA668E"/>
    <w:rsid w:val="3CCF500B"/>
    <w:rsid w:val="3CE37EA3"/>
    <w:rsid w:val="3CED6733"/>
    <w:rsid w:val="3D001FC2"/>
    <w:rsid w:val="3D0111A7"/>
    <w:rsid w:val="3D0738F5"/>
    <w:rsid w:val="3D1620EA"/>
    <w:rsid w:val="3D174D88"/>
    <w:rsid w:val="3D18555E"/>
    <w:rsid w:val="3D1D2125"/>
    <w:rsid w:val="3D4D2D2E"/>
    <w:rsid w:val="3D567A39"/>
    <w:rsid w:val="3D5D5666"/>
    <w:rsid w:val="3D834D4A"/>
    <w:rsid w:val="3D836467"/>
    <w:rsid w:val="3D847733"/>
    <w:rsid w:val="3D9848F1"/>
    <w:rsid w:val="3DBD3180"/>
    <w:rsid w:val="3DBF3C2B"/>
    <w:rsid w:val="3DC6320C"/>
    <w:rsid w:val="3DC730ED"/>
    <w:rsid w:val="3DC873F8"/>
    <w:rsid w:val="3DDC47DD"/>
    <w:rsid w:val="3DE00600"/>
    <w:rsid w:val="3E1201FF"/>
    <w:rsid w:val="3E3A59A8"/>
    <w:rsid w:val="3E3E49F0"/>
    <w:rsid w:val="3E422EF6"/>
    <w:rsid w:val="3E500D27"/>
    <w:rsid w:val="3E66054B"/>
    <w:rsid w:val="3E6D3687"/>
    <w:rsid w:val="3E740EBA"/>
    <w:rsid w:val="3E7D2C4E"/>
    <w:rsid w:val="3E834C59"/>
    <w:rsid w:val="3E864953"/>
    <w:rsid w:val="3EA66B99"/>
    <w:rsid w:val="3EA75D5A"/>
    <w:rsid w:val="3EA92852"/>
    <w:rsid w:val="3EC15DE2"/>
    <w:rsid w:val="3ED95F70"/>
    <w:rsid w:val="3EDC25BB"/>
    <w:rsid w:val="3EE30868"/>
    <w:rsid w:val="3EF73899"/>
    <w:rsid w:val="3EFF0AA9"/>
    <w:rsid w:val="3F093101"/>
    <w:rsid w:val="3F122481"/>
    <w:rsid w:val="3F17334A"/>
    <w:rsid w:val="3F2E21A9"/>
    <w:rsid w:val="3F31747E"/>
    <w:rsid w:val="3F47037C"/>
    <w:rsid w:val="3F56236D"/>
    <w:rsid w:val="3F6850A4"/>
    <w:rsid w:val="3F731171"/>
    <w:rsid w:val="3F740A45"/>
    <w:rsid w:val="3F7D3ADC"/>
    <w:rsid w:val="3F860BF6"/>
    <w:rsid w:val="3F964F55"/>
    <w:rsid w:val="3FD211DC"/>
    <w:rsid w:val="3FD87A8A"/>
    <w:rsid w:val="3FEE07F8"/>
    <w:rsid w:val="400224F5"/>
    <w:rsid w:val="4013025E"/>
    <w:rsid w:val="40173B2E"/>
    <w:rsid w:val="401A783F"/>
    <w:rsid w:val="402A2012"/>
    <w:rsid w:val="403304A3"/>
    <w:rsid w:val="403341FC"/>
    <w:rsid w:val="40646D0C"/>
    <w:rsid w:val="40836FC2"/>
    <w:rsid w:val="40A27ED6"/>
    <w:rsid w:val="40AD2F5C"/>
    <w:rsid w:val="40B03CFF"/>
    <w:rsid w:val="40B3559D"/>
    <w:rsid w:val="40BE2BAD"/>
    <w:rsid w:val="40D42799"/>
    <w:rsid w:val="40EA5463"/>
    <w:rsid w:val="40EB11DB"/>
    <w:rsid w:val="40FE2CBD"/>
    <w:rsid w:val="41120516"/>
    <w:rsid w:val="411F45F3"/>
    <w:rsid w:val="41332FCD"/>
    <w:rsid w:val="4137566C"/>
    <w:rsid w:val="4172315C"/>
    <w:rsid w:val="4172565D"/>
    <w:rsid w:val="41857247"/>
    <w:rsid w:val="418E2292"/>
    <w:rsid w:val="4193373B"/>
    <w:rsid w:val="41951050"/>
    <w:rsid w:val="419747F0"/>
    <w:rsid w:val="419929E5"/>
    <w:rsid w:val="41C67B4E"/>
    <w:rsid w:val="42072045"/>
    <w:rsid w:val="42100F5B"/>
    <w:rsid w:val="42350960"/>
    <w:rsid w:val="423607B4"/>
    <w:rsid w:val="4242307D"/>
    <w:rsid w:val="424B4343"/>
    <w:rsid w:val="42530DE6"/>
    <w:rsid w:val="42550399"/>
    <w:rsid w:val="42597AAE"/>
    <w:rsid w:val="425A2175"/>
    <w:rsid w:val="426C68DB"/>
    <w:rsid w:val="42706B2F"/>
    <w:rsid w:val="42784CF1"/>
    <w:rsid w:val="427A6373"/>
    <w:rsid w:val="4289328C"/>
    <w:rsid w:val="42901D0D"/>
    <w:rsid w:val="429D02B3"/>
    <w:rsid w:val="42A33B1C"/>
    <w:rsid w:val="42C31B10"/>
    <w:rsid w:val="42CE132B"/>
    <w:rsid w:val="42D91F84"/>
    <w:rsid w:val="42E67EAC"/>
    <w:rsid w:val="43086951"/>
    <w:rsid w:val="430D6CAA"/>
    <w:rsid w:val="431B02C0"/>
    <w:rsid w:val="43217136"/>
    <w:rsid w:val="43335D43"/>
    <w:rsid w:val="4340580E"/>
    <w:rsid w:val="43456981"/>
    <w:rsid w:val="43496F4C"/>
    <w:rsid w:val="434D7EA4"/>
    <w:rsid w:val="434F5A51"/>
    <w:rsid w:val="43832DFE"/>
    <w:rsid w:val="43947908"/>
    <w:rsid w:val="439568F1"/>
    <w:rsid w:val="43A85162"/>
    <w:rsid w:val="43D30430"/>
    <w:rsid w:val="43FB6C6C"/>
    <w:rsid w:val="44092683"/>
    <w:rsid w:val="44136A7F"/>
    <w:rsid w:val="442475BF"/>
    <w:rsid w:val="443D1D4E"/>
    <w:rsid w:val="444255B6"/>
    <w:rsid w:val="444263BD"/>
    <w:rsid w:val="4448188A"/>
    <w:rsid w:val="444B1FE5"/>
    <w:rsid w:val="444C6792"/>
    <w:rsid w:val="4453143E"/>
    <w:rsid w:val="44680760"/>
    <w:rsid w:val="4484797D"/>
    <w:rsid w:val="449F56DC"/>
    <w:rsid w:val="44A818BD"/>
    <w:rsid w:val="44AB5C3B"/>
    <w:rsid w:val="44B90019"/>
    <w:rsid w:val="44C61947"/>
    <w:rsid w:val="44C62A33"/>
    <w:rsid w:val="44ED5522"/>
    <w:rsid w:val="44F3240C"/>
    <w:rsid w:val="450851AE"/>
    <w:rsid w:val="45124F88"/>
    <w:rsid w:val="45196317"/>
    <w:rsid w:val="451F1453"/>
    <w:rsid w:val="452B1BA6"/>
    <w:rsid w:val="452F78E8"/>
    <w:rsid w:val="454437D3"/>
    <w:rsid w:val="456A7B13"/>
    <w:rsid w:val="456D0411"/>
    <w:rsid w:val="4577128F"/>
    <w:rsid w:val="457B0D80"/>
    <w:rsid w:val="457C4F49"/>
    <w:rsid w:val="457F1EF2"/>
    <w:rsid w:val="4588349D"/>
    <w:rsid w:val="459C0CF6"/>
    <w:rsid w:val="45BF5433"/>
    <w:rsid w:val="45C83DF3"/>
    <w:rsid w:val="45CA5863"/>
    <w:rsid w:val="45DB299A"/>
    <w:rsid w:val="46072613"/>
    <w:rsid w:val="461427E4"/>
    <w:rsid w:val="46182316"/>
    <w:rsid w:val="462705C0"/>
    <w:rsid w:val="462F56C6"/>
    <w:rsid w:val="463148E3"/>
    <w:rsid w:val="46333408"/>
    <w:rsid w:val="463D5545"/>
    <w:rsid w:val="4650198D"/>
    <w:rsid w:val="46503FBA"/>
    <w:rsid w:val="46520B0B"/>
    <w:rsid w:val="46633BD9"/>
    <w:rsid w:val="466510E8"/>
    <w:rsid w:val="467027B1"/>
    <w:rsid w:val="467804A0"/>
    <w:rsid w:val="467C5D54"/>
    <w:rsid w:val="469043B7"/>
    <w:rsid w:val="46AC4F69"/>
    <w:rsid w:val="46BC66E3"/>
    <w:rsid w:val="46BD2CD2"/>
    <w:rsid w:val="46C75FD4"/>
    <w:rsid w:val="46CC3DD3"/>
    <w:rsid w:val="46D544C0"/>
    <w:rsid w:val="46FE3A16"/>
    <w:rsid w:val="470E5AD2"/>
    <w:rsid w:val="471E5300"/>
    <w:rsid w:val="47256537"/>
    <w:rsid w:val="472B0583"/>
    <w:rsid w:val="472F1E22"/>
    <w:rsid w:val="473D2CF5"/>
    <w:rsid w:val="473F3C8F"/>
    <w:rsid w:val="474469B1"/>
    <w:rsid w:val="474E4D72"/>
    <w:rsid w:val="47515805"/>
    <w:rsid w:val="476870E2"/>
    <w:rsid w:val="47975C19"/>
    <w:rsid w:val="479A7297"/>
    <w:rsid w:val="47A05ED3"/>
    <w:rsid w:val="47A4309A"/>
    <w:rsid w:val="47BC7B3A"/>
    <w:rsid w:val="47BE488B"/>
    <w:rsid w:val="47C64F95"/>
    <w:rsid w:val="47CE6B29"/>
    <w:rsid w:val="47D26760"/>
    <w:rsid w:val="47D82193"/>
    <w:rsid w:val="47EC1AC1"/>
    <w:rsid w:val="481B514B"/>
    <w:rsid w:val="48212F23"/>
    <w:rsid w:val="482764EF"/>
    <w:rsid w:val="482C49D5"/>
    <w:rsid w:val="486024AF"/>
    <w:rsid w:val="48710218"/>
    <w:rsid w:val="4886548C"/>
    <w:rsid w:val="488937B4"/>
    <w:rsid w:val="488F1B48"/>
    <w:rsid w:val="48A45C80"/>
    <w:rsid w:val="48AA44A9"/>
    <w:rsid w:val="48B32454"/>
    <w:rsid w:val="48B63879"/>
    <w:rsid w:val="48D70CC4"/>
    <w:rsid w:val="48E22EC4"/>
    <w:rsid w:val="48FA645F"/>
    <w:rsid w:val="49064E04"/>
    <w:rsid w:val="49104CFF"/>
    <w:rsid w:val="4911332D"/>
    <w:rsid w:val="491E3582"/>
    <w:rsid w:val="494476DB"/>
    <w:rsid w:val="495624DE"/>
    <w:rsid w:val="496C06B7"/>
    <w:rsid w:val="49731D6E"/>
    <w:rsid w:val="49867CF3"/>
    <w:rsid w:val="49871B0B"/>
    <w:rsid w:val="499A72FA"/>
    <w:rsid w:val="49A14B2D"/>
    <w:rsid w:val="49A32653"/>
    <w:rsid w:val="49A7235E"/>
    <w:rsid w:val="49A90682"/>
    <w:rsid w:val="49AB1508"/>
    <w:rsid w:val="49AB26BA"/>
    <w:rsid w:val="49AC7DF8"/>
    <w:rsid w:val="49AF5C20"/>
    <w:rsid w:val="49CB3958"/>
    <w:rsid w:val="49CD677C"/>
    <w:rsid w:val="49D767A1"/>
    <w:rsid w:val="49EE3AC3"/>
    <w:rsid w:val="49FE5ADB"/>
    <w:rsid w:val="4A0F30B7"/>
    <w:rsid w:val="4A2570B7"/>
    <w:rsid w:val="4A3239D7"/>
    <w:rsid w:val="4A4604C3"/>
    <w:rsid w:val="4A501C0F"/>
    <w:rsid w:val="4A563B69"/>
    <w:rsid w:val="4A595408"/>
    <w:rsid w:val="4A6641F9"/>
    <w:rsid w:val="4A6B7599"/>
    <w:rsid w:val="4A9C4C07"/>
    <w:rsid w:val="4ABD7744"/>
    <w:rsid w:val="4AC37581"/>
    <w:rsid w:val="4AD131F0"/>
    <w:rsid w:val="4AD67EC4"/>
    <w:rsid w:val="4ADD3943"/>
    <w:rsid w:val="4AE3579D"/>
    <w:rsid w:val="4AFA62A3"/>
    <w:rsid w:val="4B113607"/>
    <w:rsid w:val="4B217CD3"/>
    <w:rsid w:val="4B2B59E0"/>
    <w:rsid w:val="4B3D2633"/>
    <w:rsid w:val="4B475260"/>
    <w:rsid w:val="4B4B6AFE"/>
    <w:rsid w:val="4B5B21A5"/>
    <w:rsid w:val="4B603E7B"/>
    <w:rsid w:val="4B6D5033"/>
    <w:rsid w:val="4B894FEF"/>
    <w:rsid w:val="4B8E10E1"/>
    <w:rsid w:val="4BA76BDA"/>
    <w:rsid w:val="4BA87BE0"/>
    <w:rsid w:val="4BA96E85"/>
    <w:rsid w:val="4BB02E05"/>
    <w:rsid w:val="4BD174F3"/>
    <w:rsid w:val="4BD44D46"/>
    <w:rsid w:val="4BD619E7"/>
    <w:rsid w:val="4BDA60D4"/>
    <w:rsid w:val="4C093464"/>
    <w:rsid w:val="4C0C6D0D"/>
    <w:rsid w:val="4C2B39FC"/>
    <w:rsid w:val="4C3B3607"/>
    <w:rsid w:val="4C40062D"/>
    <w:rsid w:val="4C4261D4"/>
    <w:rsid w:val="4C462B87"/>
    <w:rsid w:val="4C465518"/>
    <w:rsid w:val="4C485734"/>
    <w:rsid w:val="4C60482B"/>
    <w:rsid w:val="4C7B3005"/>
    <w:rsid w:val="4C864CF3"/>
    <w:rsid w:val="4C876F25"/>
    <w:rsid w:val="4C9170DB"/>
    <w:rsid w:val="4C982217"/>
    <w:rsid w:val="4CA3296A"/>
    <w:rsid w:val="4CA61232"/>
    <w:rsid w:val="4CAF3151"/>
    <w:rsid w:val="4CC3598A"/>
    <w:rsid w:val="4CC41E4C"/>
    <w:rsid w:val="4CCA4263"/>
    <w:rsid w:val="4CD306D9"/>
    <w:rsid w:val="4CD449C7"/>
    <w:rsid w:val="4CF464DE"/>
    <w:rsid w:val="4CF73B8E"/>
    <w:rsid w:val="4D014DB3"/>
    <w:rsid w:val="4D0C0B45"/>
    <w:rsid w:val="4D132B71"/>
    <w:rsid w:val="4D253CAD"/>
    <w:rsid w:val="4D3343FD"/>
    <w:rsid w:val="4D375C37"/>
    <w:rsid w:val="4D4605EE"/>
    <w:rsid w:val="4D680B81"/>
    <w:rsid w:val="4D757C0C"/>
    <w:rsid w:val="4D7C705E"/>
    <w:rsid w:val="4D7D770F"/>
    <w:rsid w:val="4D812459"/>
    <w:rsid w:val="4DA846DC"/>
    <w:rsid w:val="4DC12AC0"/>
    <w:rsid w:val="4DE0472B"/>
    <w:rsid w:val="4DE04BA4"/>
    <w:rsid w:val="4DE35714"/>
    <w:rsid w:val="4DF34EBF"/>
    <w:rsid w:val="4E0336C0"/>
    <w:rsid w:val="4E125FF9"/>
    <w:rsid w:val="4E231054"/>
    <w:rsid w:val="4E2E01B6"/>
    <w:rsid w:val="4E3140C9"/>
    <w:rsid w:val="4E3C3D58"/>
    <w:rsid w:val="4E411244"/>
    <w:rsid w:val="4E4C150B"/>
    <w:rsid w:val="4E6D39A0"/>
    <w:rsid w:val="4E747428"/>
    <w:rsid w:val="4E763306"/>
    <w:rsid w:val="4E83501F"/>
    <w:rsid w:val="4E987279"/>
    <w:rsid w:val="4EAD211D"/>
    <w:rsid w:val="4EBD41B7"/>
    <w:rsid w:val="4ECE79F1"/>
    <w:rsid w:val="4ED65279"/>
    <w:rsid w:val="4EE34D36"/>
    <w:rsid w:val="4F0C3A6D"/>
    <w:rsid w:val="4F112609"/>
    <w:rsid w:val="4F271630"/>
    <w:rsid w:val="4F2A7373"/>
    <w:rsid w:val="4F2C73F5"/>
    <w:rsid w:val="4F3A75B6"/>
    <w:rsid w:val="4F407750"/>
    <w:rsid w:val="4F4D29FB"/>
    <w:rsid w:val="4F4E12B3"/>
    <w:rsid w:val="4F5543EF"/>
    <w:rsid w:val="4F561F16"/>
    <w:rsid w:val="4F6E3703"/>
    <w:rsid w:val="4F80026A"/>
    <w:rsid w:val="4F82317D"/>
    <w:rsid w:val="4FAB73BD"/>
    <w:rsid w:val="4FB01626"/>
    <w:rsid w:val="4FB12008"/>
    <w:rsid w:val="4FBF7257"/>
    <w:rsid w:val="4FD4582F"/>
    <w:rsid w:val="4FDD34EF"/>
    <w:rsid w:val="4FEF2DE0"/>
    <w:rsid w:val="4FF8624B"/>
    <w:rsid w:val="4FFA3F3E"/>
    <w:rsid w:val="500B71A4"/>
    <w:rsid w:val="501560FE"/>
    <w:rsid w:val="501778F7"/>
    <w:rsid w:val="501B07C8"/>
    <w:rsid w:val="502B5150"/>
    <w:rsid w:val="504802A0"/>
    <w:rsid w:val="505C355C"/>
    <w:rsid w:val="5063318C"/>
    <w:rsid w:val="506423F7"/>
    <w:rsid w:val="506D0946"/>
    <w:rsid w:val="507B7BD1"/>
    <w:rsid w:val="507D33F9"/>
    <w:rsid w:val="508F1B83"/>
    <w:rsid w:val="508F4404"/>
    <w:rsid w:val="50B60484"/>
    <w:rsid w:val="50C51101"/>
    <w:rsid w:val="50C555A5"/>
    <w:rsid w:val="50CA4969"/>
    <w:rsid w:val="50D27904"/>
    <w:rsid w:val="50F33594"/>
    <w:rsid w:val="50F419E6"/>
    <w:rsid w:val="50FD57DC"/>
    <w:rsid w:val="511107EA"/>
    <w:rsid w:val="51183194"/>
    <w:rsid w:val="514C35D0"/>
    <w:rsid w:val="51541A61"/>
    <w:rsid w:val="51613173"/>
    <w:rsid w:val="51660B5F"/>
    <w:rsid w:val="516C22F8"/>
    <w:rsid w:val="517D19DC"/>
    <w:rsid w:val="51A056CA"/>
    <w:rsid w:val="51A07FFA"/>
    <w:rsid w:val="51C36DD0"/>
    <w:rsid w:val="51DB2861"/>
    <w:rsid w:val="51F34596"/>
    <w:rsid w:val="51FF79D4"/>
    <w:rsid w:val="5201696F"/>
    <w:rsid w:val="5210554E"/>
    <w:rsid w:val="52171E30"/>
    <w:rsid w:val="52196CE5"/>
    <w:rsid w:val="521C6D1D"/>
    <w:rsid w:val="52214A5D"/>
    <w:rsid w:val="522400A9"/>
    <w:rsid w:val="52263E21"/>
    <w:rsid w:val="523429E2"/>
    <w:rsid w:val="52483D98"/>
    <w:rsid w:val="527D585E"/>
    <w:rsid w:val="52A65C43"/>
    <w:rsid w:val="52A92CC4"/>
    <w:rsid w:val="52AB09E5"/>
    <w:rsid w:val="52E36B72"/>
    <w:rsid w:val="52E76730"/>
    <w:rsid w:val="52EB0BC7"/>
    <w:rsid w:val="52FE4ACE"/>
    <w:rsid w:val="53083527"/>
    <w:rsid w:val="530A34EE"/>
    <w:rsid w:val="530F0D59"/>
    <w:rsid w:val="531A1CA4"/>
    <w:rsid w:val="531B0134"/>
    <w:rsid w:val="53267CB9"/>
    <w:rsid w:val="533B56AA"/>
    <w:rsid w:val="534A687E"/>
    <w:rsid w:val="536410A5"/>
    <w:rsid w:val="536A2433"/>
    <w:rsid w:val="536E5A80"/>
    <w:rsid w:val="53792BC1"/>
    <w:rsid w:val="53852DC9"/>
    <w:rsid w:val="5396555A"/>
    <w:rsid w:val="53995782"/>
    <w:rsid w:val="53AE168A"/>
    <w:rsid w:val="53AE253E"/>
    <w:rsid w:val="53C65F81"/>
    <w:rsid w:val="53E602A9"/>
    <w:rsid w:val="53E6264D"/>
    <w:rsid w:val="54063F0A"/>
    <w:rsid w:val="540B7773"/>
    <w:rsid w:val="543071D9"/>
    <w:rsid w:val="54422A68"/>
    <w:rsid w:val="54493401"/>
    <w:rsid w:val="54493DF7"/>
    <w:rsid w:val="5457755A"/>
    <w:rsid w:val="54595C74"/>
    <w:rsid w:val="545B0D7E"/>
    <w:rsid w:val="546443CB"/>
    <w:rsid w:val="54672269"/>
    <w:rsid w:val="546B7D72"/>
    <w:rsid w:val="546D12DE"/>
    <w:rsid w:val="549630D2"/>
    <w:rsid w:val="549806FF"/>
    <w:rsid w:val="54A07481"/>
    <w:rsid w:val="54A1230C"/>
    <w:rsid w:val="54AA6F8B"/>
    <w:rsid w:val="54AB6860"/>
    <w:rsid w:val="54B9715D"/>
    <w:rsid w:val="54E65AEA"/>
    <w:rsid w:val="54FC3C32"/>
    <w:rsid w:val="551B47D9"/>
    <w:rsid w:val="552679ED"/>
    <w:rsid w:val="552705DC"/>
    <w:rsid w:val="552C446C"/>
    <w:rsid w:val="5531145B"/>
    <w:rsid w:val="553C395C"/>
    <w:rsid w:val="55456905"/>
    <w:rsid w:val="55B41744"/>
    <w:rsid w:val="55C027DF"/>
    <w:rsid w:val="55C73B6D"/>
    <w:rsid w:val="55D402F2"/>
    <w:rsid w:val="55DE3E90"/>
    <w:rsid w:val="55F00BA8"/>
    <w:rsid w:val="55FB6269"/>
    <w:rsid w:val="56182A97"/>
    <w:rsid w:val="562F7CC0"/>
    <w:rsid w:val="56384123"/>
    <w:rsid w:val="565371AF"/>
    <w:rsid w:val="56554C32"/>
    <w:rsid w:val="565B6A0D"/>
    <w:rsid w:val="56644F18"/>
    <w:rsid w:val="56650B2C"/>
    <w:rsid w:val="56653747"/>
    <w:rsid w:val="56760F15"/>
    <w:rsid w:val="567E58D5"/>
    <w:rsid w:val="569021B1"/>
    <w:rsid w:val="56960CC1"/>
    <w:rsid w:val="56A96DCF"/>
    <w:rsid w:val="56AC1C9C"/>
    <w:rsid w:val="56B7773E"/>
    <w:rsid w:val="56BD6855"/>
    <w:rsid w:val="56C06AC1"/>
    <w:rsid w:val="56D82460"/>
    <w:rsid w:val="56DC1EB2"/>
    <w:rsid w:val="570019D1"/>
    <w:rsid w:val="57062473"/>
    <w:rsid w:val="57183EDC"/>
    <w:rsid w:val="572959A2"/>
    <w:rsid w:val="573945F7"/>
    <w:rsid w:val="575E62F9"/>
    <w:rsid w:val="57652827"/>
    <w:rsid w:val="579813B0"/>
    <w:rsid w:val="5798756F"/>
    <w:rsid w:val="57A71560"/>
    <w:rsid w:val="57AE0B41"/>
    <w:rsid w:val="57AF2B0B"/>
    <w:rsid w:val="57FB3702"/>
    <w:rsid w:val="580746F5"/>
    <w:rsid w:val="580B14EE"/>
    <w:rsid w:val="581174EC"/>
    <w:rsid w:val="581D5CC6"/>
    <w:rsid w:val="58254B7B"/>
    <w:rsid w:val="585F62DF"/>
    <w:rsid w:val="58676F42"/>
    <w:rsid w:val="587D2E11"/>
    <w:rsid w:val="588054CF"/>
    <w:rsid w:val="58951D01"/>
    <w:rsid w:val="58B67971"/>
    <w:rsid w:val="58B726B5"/>
    <w:rsid w:val="58EB6858"/>
    <w:rsid w:val="58ED7BBD"/>
    <w:rsid w:val="5906675A"/>
    <w:rsid w:val="590B3D71"/>
    <w:rsid w:val="59110240"/>
    <w:rsid w:val="593E4146"/>
    <w:rsid w:val="594F1EAF"/>
    <w:rsid w:val="595079D6"/>
    <w:rsid w:val="595E0345"/>
    <w:rsid w:val="595E20F3"/>
    <w:rsid w:val="5973252F"/>
    <w:rsid w:val="597347D4"/>
    <w:rsid w:val="597B0737"/>
    <w:rsid w:val="5991071A"/>
    <w:rsid w:val="59946273"/>
    <w:rsid w:val="59995821"/>
    <w:rsid w:val="59A33FA9"/>
    <w:rsid w:val="59C3343D"/>
    <w:rsid w:val="59DA1701"/>
    <w:rsid w:val="59E62A83"/>
    <w:rsid w:val="59E7033A"/>
    <w:rsid w:val="59F87104"/>
    <w:rsid w:val="5A113609"/>
    <w:rsid w:val="5A137A33"/>
    <w:rsid w:val="5A5B0F1C"/>
    <w:rsid w:val="5A61633E"/>
    <w:rsid w:val="5A825297"/>
    <w:rsid w:val="5A92765C"/>
    <w:rsid w:val="5A9D2C6C"/>
    <w:rsid w:val="5AA24261"/>
    <w:rsid w:val="5AA4622B"/>
    <w:rsid w:val="5ABF1A84"/>
    <w:rsid w:val="5ACC24EE"/>
    <w:rsid w:val="5AD52888"/>
    <w:rsid w:val="5ADC7773"/>
    <w:rsid w:val="5AE44879"/>
    <w:rsid w:val="5AFA7431"/>
    <w:rsid w:val="5AFC6067"/>
    <w:rsid w:val="5AFF3461"/>
    <w:rsid w:val="5B01542B"/>
    <w:rsid w:val="5B050AD8"/>
    <w:rsid w:val="5B203AA8"/>
    <w:rsid w:val="5B215ACE"/>
    <w:rsid w:val="5B243171"/>
    <w:rsid w:val="5B26737B"/>
    <w:rsid w:val="5B276A68"/>
    <w:rsid w:val="5B3B7CB7"/>
    <w:rsid w:val="5B541C83"/>
    <w:rsid w:val="5B5714EF"/>
    <w:rsid w:val="5B5A559D"/>
    <w:rsid w:val="5B6367A3"/>
    <w:rsid w:val="5B654627"/>
    <w:rsid w:val="5B6D41EC"/>
    <w:rsid w:val="5B86131D"/>
    <w:rsid w:val="5B8F4773"/>
    <w:rsid w:val="5B9A0FAF"/>
    <w:rsid w:val="5BC41188"/>
    <w:rsid w:val="5BD005EE"/>
    <w:rsid w:val="5BF83676"/>
    <w:rsid w:val="5C00790E"/>
    <w:rsid w:val="5C0D3219"/>
    <w:rsid w:val="5C1D774E"/>
    <w:rsid w:val="5C2F421A"/>
    <w:rsid w:val="5C337866"/>
    <w:rsid w:val="5C381321"/>
    <w:rsid w:val="5C385BF7"/>
    <w:rsid w:val="5C3E3F18"/>
    <w:rsid w:val="5C475DA6"/>
    <w:rsid w:val="5C4D37EA"/>
    <w:rsid w:val="5C4F1B9E"/>
    <w:rsid w:val="5C532B2C"/>
    <w:rsid w:val="5C657C3C"/>
    <w:rsid w:val="5C7165E1"/>
    <w:rsid w:val="5C8005D2"/>
    <w:rsid w:val="5C967DF5"/>
    <w:rsid w:val="5C980CD9"/>
    <w:rsid w:val="5C9B50CE"/>
    <w:rsid w:val="5C9F314E"/>
    <w:rsid w:val="5CC04E72"/>
    <w:rsid w:val="5CD21E05"/>
    <w:rsid w:val="5CDF179C"/>
    <w:rsid w:val="5CF27722"/>
    <w:rsid w:val="5D293857"/>
    <w:rsid w:val="5D3D71CA"/>
    <w:rsid w:val="5D6B74D4"/>
    <w:rsid w:val="5D77591C"/>
    <w:rsid w:val="5D814602"/>
    <w:rsid w:val="5D9D5982"/>
    <w:rsid w:val="5DA066B9"/>
    <w:rsid w:val="5DBC1ADE"/>
    <w:rsid w:val="5DC71329"/>
    <w:rsid w:val="5DCF7A63"/>
    <w:rsid w:val="5DDA1441"/>
    <w:rsid w:val="5DDE6677"/>
    <w:rsid w:val="5E0053AA"/>
    <w:rsid w:val="5E0760E9"/>
    <w:rsid w:val="5E371164"/>
    <w:rsid w:val="5E472A1D"/>
    <w:rsid w:val="5E50346B"/>
    <w:rsid w:val="5E547F68"/>
    <w:rsid w:val="5E564408"/>
    <w:rsid w:val="5EA93E10"/>
    <w:rsid w:val="5EAF6776"/>
    <w:rsid w:val="5EB47326"/>
    <w:rsid w:val="5EC450EE"/>
    <w:rsid w:val="5ECF35C3"/>
    <w:rsid w:val="5ED955A0"/>
    <w:rsid w:val="5EEC01A1"/>
    <w:rsid w:val="5EF05FB6"/>
    <w:rsid w:val="5EFB03E4"/>
    <w:rsid w:val="5F0D0843"/>
    <w:rsid w:val="5F15261C"/>
    <w:rsid w:val="5F8C174B"/>
    <w:rsid w:val="5FA171DD"/>
    <w:rsid w:val="5FA42829"/>
    <w:rsid w:val="5FAA0B3A"/>
    <w:rsid w:val="5FB32A6C"/>
    <w:rsid w:val="5FB46BE7"/>
    <w:rsid w:val="5FC37153"/>
    <w:rsid w:val="5FD453EF"/>
    <w:rsid w:val="5FE16446"/>
    <w:rsid w:val="5FE5356E"/>
    <w:rsid w:val="5FE61094"/>
    <w:rsid w:val="5FE93555"/>
    <w:rsid w:val="5FEF7F48"/>
    <w:rsid w:val="600032CC"/>
    <w:rsid w:val="60103ADE"/>
    <w:rsid w:val="601E082E"/>
    <w:rsid w:val="60365B77"/>
    <w:rsid w:val="604858AA"/>
    <w:rsid w:val="606D5311"/>
    <w:rsid w:val="60CD731E"/>
    <w:rsid w:val="60D11CAC"/>
    <w:rsid w:val="60D972B1"/>
    <w:rsid w:val="60E66E0B"/>
    <w:rsid w:val="60F35816"/>
    <w:rsid w:val="60F456F6"/>
    <w:rsid w:val="60F94AE9"/>
    <w:rsid w:val="61092215"/>
    <w:rsid w:val="610C4B2A"/>
    <w:rsid w:val="610E2650"/>
    <w:rsid w:val="613227E2"/>
    <w:rsid w:val="61404BAE"/>
    <w:rsid w:val="614A13B2"/>
    <w:rsid w:val="61545959"/>
    <w:rsid w:val="615F2EAC"/>
    <w:rsid w:val="61646714"/>
    <w:rsid w:val="6165446B"/>
    <w:rsid w:val="616D55C9"/>
    <w:rsid w:val="61706E67"/>
    <w:rsid w:val="61713E1A"/>
    <w:rsid w:val="61720E31"/>
    <w:rsid w:val="61785D1C"/>
    <w:rsid w:val="619012B7"/>
    <w:rsid w:val="61973E36"/>
    <w:rsid w:val="619F599E"/>
    <w:rsid w:val="61A905CB"/>
    <w:rsid w:val="61B71A0C"/>
    <w:rsid w:val="61BC02FE"/>
    <w:rsid w:val="61CB4BCE"/>
    <w:rsid w:val="61D77CCC"/>
    <w:rsid w:val="61E85C53"/>
    <w:rsid w:val="61F730E4"/>
    <w:rsid w:val="61FF2759"/>
    <w:rsid w:val="620121B5"/>
    <w:rsid w:val="62022925"/>
    <w:rsid w:val="620A72BB"/>
    <w:rsid w:val="62155967"/>
    <w:rsid w:val="621B0CCC"/>
    <w:rsid w:val="621C2B4B"/>
    <w:rsid w:val="622460F4"/>
    <w:rsid w:val="62377985"/>
    <w:rsid w:val="62662383"/>
    <w:rsid w:val="6280132C"/>
    <w:rsid w:val="6288430B"/>
    <w:rsid w:val="629A441E"/>
    <w:rsid w:val="62A93A28"/>
    <w:rsid w:val="62A96AD4"/>
    <w:rsid w:val="62B920D0"/>
    <w:rsid w:val="62C60351"/>
    <w:rsid w:val="62CB3DDE"/>
    <w:rsid w:val="62D17C17"/>
    <w:rsid w:val="62E25B42"/>
    <w:rsid w:val="62E268B2"/>
    <w:rsid w:val="62E278F0"/>
    <w:rsid w:val="62F04095"/>
    <w:rsid w:val="63020B2A"/>
    <w:rsid w:val="63155F18"/>
    <w:rsid w:val="63247F09"/>
    <w:rsid w:val="63305059"/>
    <w:rsid w:val="633345F0"/>
    <w:rsid w:val="63380F46"/>
    <w:rsid w:val="63464323"/>
    <w:rsid w:val="63570C9B"/>
    <w:rsid w:val="635C42A6"/>
    <w:rsid w:val="636C766A"/>
    <w:rsid w:val="6376322E"/>
    <w:rsid w:val="637C5F97"/>
    <w:rsid w:val="63937722"/>
    <w:rsid w:val="639808F7"/>
    <w:rsid w:val="639C4884"/>
    <w:rsid w:val="63A31776"/>
    <w:rsid w:val="63AD43A2"/>
    <w:rsid w:val="63BA39D2"/>
    <w:rsid w:val="63BD3EBA"/>
    <w:rsid w:val="63C416EC"/>
    <w:rsid w:val="63C501DB"/>
    <w:rsid w:val="63F43602"/>
    <w:rsid w:val="64033FC2"/>
    <w:rsid w:val="640A35A3"/>
    <w:rsid w:val="64260E2B"/>
    <w:rsid w:val="643072AF"/>
    <w:rsid w:val="643A375C"/>
    <w:rsid w:val="64502F80"/>
    <w:rsid w:val="64601415"/>
    <w:rsid w:val="648A6492"/>
    <w:rsid w:val="6497295D"/>
    <w:rsid w:val="64A5151D"/>
    <w:rsid w:val="64AF7CA6"/>
    <w:rsid w:val="64B17EC2"/>
    <w:rsid w:val="64B90B25"/>
    <w:rsid w:val="64C871E3"/>
    <w:rsid w:val="64CD585D"/>
    <w:rsid w:val="64DB4F3F"/>
    <w:rsid w:val="64E42046"/>
    <w:rsid w:val="64EA4518"/>
    <w:rsid w:val="64F74D89"/>
    <w:rsid w:val="650503C6"/>
    <w:rsid w:val="650937E6"/>
    <w:rsid w:val="652C5649"/>
    <w:rsid w:val="653A7990"/>
    <w:rsid w:val="6543214C"/>
    <w:rsid w:val="65436640"/>
    <w:rsid w:val="654A2D73"/>
    <w:rsid w:val="65516FAF"/>
    <w:rsid w:val="65594290"/>
    <w:rsid w:val="655A5E64"/>
    <w:rsid w:val="657B5DDA"/>
    <w:rsid w:val="659770B8"/>
    <w:rsid w:val="659D0447"/>
    <w:rsid w:val="65A17389"/>
    <w:rsid w:val="65A92E18"/>
    <w:rsid w:val="65BC08CD"/>
    <w:rsid w:val="65CD04B0"/>
    <w:rsid w:val="65D00D45"/>
    <w:rsid w:val="660B53B0"/>
    <w:rsid w:val="660D20B3"/>
    <w:rsid w:val="66131908"/>
    <w:rsid w:val="661A10A8"/>
    <w:rsid w:val="663012BB"/>
    <w:rsid w:val="66326DE1"/>
    <w:rsid w:val="66372649"/>
    <w:rsid w:val="663C1AEB"/>
    <w:rsid w:val="664663E8"/>
    <w:rsid w:val="66550D97"/>
    <w:rsid w:val="66663372"/>
    <w:rsid w:val="66733BA9"/>
    <w:rsid w:val="667A42E4"/>
    <w:rsid w:val="667B1E5F"/>
    <w:rsid w:val="667F1A77"/>
    <w:rsid w:val="668E1D8E"/>
    <w:rsid w:val="66A77488"/>
    <w:rsid w:val="66AA7DDF"/>
    <w:rsid w:val="66AC08E8"/>
    <w:rsid w:val="66B10F18"/>
    <w:rsid w:val="66B82549"/>
    <w:rsid w:val="66CA7019"/>
    <w:rsid w:val="66D24120"/>
    <w:rsid w:val="66D644F4"/>
    <w:rsid w:val="66D71AD3"/>
    <w:rsid w:val="66DE2AC5"/>
    <w:rsid w:val="66E71E8C"/>
    <w:rsid w:val="66F20D1A"/>
    <w:rsid w:val="66F978B1"/>
    <w:rsid w:val="66FB71D3"/>
    <w:rsid w:val="66FD0151"/>
    <w:rsid w:val="67046394"/>
    <w:rsid w:val="67073DC9"/>
    <w:rsid w:val="673650EC"/>
    <w:rsid w:val="67372F63"/>
    <w:rsid w:val="674D191F"/>
    <w:rsid w:val="677015B0"/>
    <w:rsid w:val="67724B41"/>
    <w:rsid w:val="679F04A6"/>
    <w:rsid w:val="679F1736"/>
    <w:rsid w:val="67AC671F"/>
    <w:rsid w:val="67BD4CD1"/>
    <w:rsid w:val="67E22DCA"/>
    <w:rsid w:val="67E8527B"/>
    <w:rsid w:val="67F02AB0"/>
    <w:rsid w:val="67F32725"/>
    <w:rsid w:val="68106CAE"/>
    <w:rsid w:val="681542C4"/>
    <w:rsid w:val="68282A94"/>
    <w:rsid w:val="68400209"/>
    <w:rsid w:val="684352D5"/>
    <w:rsid w:val="684D7F02"/>
    <w:rsid w:val="68527F27"/>
    <w:rsid w:val="686D032A"/>
    <w:rsid w:val="687C76A9"/>
    <w:rsid w:val="688B4586"/>
    <w:rsid w:val="68B4645D"/>
    <w:rsid w:val="68BE5DE8"/>
    <w:rsid w:val="68C6302D"/>
    <w:rsid w:val="68DA4515"/>
    <w:rsid w:val="68DF3A3C"/>
    <w:rsid w:val="69054339"/>
    <w:rsid w:val="69160231"/>
    <w:rsid w:val="693E1D84"/>
    <w:rsid w:val="695232F6"/>
    <w:rsid w:val="696C74C5"/>
    <w:rsid w:val="69877444"/>
    <w:rsid w:val="699A7177"/>
    <w:rsid w:val="699C606A"/>
    <w:rsid w:val="69A14422"/>
    <w:rsid w:val="69A2427D"/>
    <w:rsid w:val="69AE17DE"/>
    <w:rsid w:val="69C02956"/>
    <w:rsid w:val="69C266CE"/>
    <w:rsid w:val="69EB13F1"/>
    <w:rsid w:val="69F95D80"/>
    <w:rsid w:val="69FD0BC3"/>
    <w:rsid w:val="69FD3262"/>
    <w:rsid w:val="6A1C4030"/>
    <w:rsid w:val="6A1D3904"/>
    <w:rsid w:val="6A2D7FEB"/>
    <w:rsid w:val="6A376A77"/>
    <w:rsid w:val="6A3824EC"/>
    <w:rsid w:val="6A3E36A3"/>
    <w:rsid w:val="6A495EE3"/>
    <w:rsid w:val="6A576E16"/>
    <w:rsid w:val="6A577C56"/>
    <w:rsid w:val="6A66019A"/>
    <w:rsid w:val="6A7D43A3"/>
    <w:rsid w:val="6A905396"/>
    <w:rsid w:val="6AA47B81"/>
    <w:rsid w:val="6AC83870"/>
    <w:rsid w:val="6ADB65B1"/>
    <w:rsid w:val="6ADF3C26"/>
    <w:rsid w:val="6AE6019A"/>
    <w:rsid w:val="6AE630D4"/>
    <w:rsid w:val="6AE649AA"/>
    <w:rsid w:val="6AFE0DCE"/>
    <w:rsid w:val="6B240EF0"/>
    <w:rsid w:val="6B321631"/>
    <w:rsid w:val="6B3439F3"/>
    <w:rsid w:val="6B39651C"/>
    <w:rsid w:val="6B777830"/>
    <w:rsid w:val="6B7B2FD8"/>
    <w:rsid w:val="6B8A77E4"/>
    <w:rsid w:val="6B906C61"/>
    <w:rsid w:val="6BA210C1"/>
    <w:rsid w:val="6BB65520"/>
    <w:rsid w:val="6BD148E2"/>
    <w:rsid w:val="6BD61FBC"/>
    <w:rsid w:val="6BF33BB9"/>
    <w:rsid w:val="6BF40694"/>
    <w:rsid w:val="6C0A5319"/>
    <w:rsid w:val="6C117F17"/>
    <w:rsid w:val="6C180EFF"/>
    <w:rsid w:val="6C1F5711"/>
    <w:rsid w:val="6C2B3EDB"/>
    <w:rsid w:val="6C2B67AC"/>
    <w:rsid w:val="6C5030CD"/>
    <w:rsid w:val="6C515AE7"/>
    <w:rsid w:val="6C6C428C"/>
    <w:rsid w:val="6C8E4A50"/>
    <w:rsid w:val="6C9B019C"/>
    <w:rsid w:val="6C9F6852"/>
    <w:rsid w:val="6CA457EA"/>
    <w:rsid w:val="6CAD7DAB"/>
    <w:rsid w:val="6CB913A9"/>
    <w:rsid w:val="6CBC5BA3"/>
    <w:rsid w:val="6CBD4852"/>
    <w:rsid w:val="6CDB1509"/>
    <w:rsid w:val="6CF86850"/>
    <w:rsid w:val="6CFD2BA5"/>
    <w:rsid w:val="6D033285"/>
    <w:rsid w:val="6D083830"/>
    <w:rsid w:val="6D0A6EA7"/>
    <w:rsid w:val="6D0C0889"/>
    <w:rsid w:val="6D1014FE"/>
    <w:rsid w:val="6D1E71DB"/>
    <w:rsid w:val="6D1F2D41"/>
    <w:rsid w:val="6D3276C6"/>
    <w:rsid w:val="6D3E5D3E"/>
    <w:rsid w:val="6D570599"/>
    <w:rsid w:val="6D7035E4"/>
    <w:rsid w:val="6D856575"/>
    <w:rsid w:val="6DA71E62"/>
    <w:rsid w:val="6DAD16DA"/>
    <w:rsid w:val="6DAE1443"/>
    <w:rsid w:val="6DC524CB"/>
    <w:rsid w:val="6DD37736"/>
    <w:rsid w:val="6DD8026E"/>
    <w:rsid w:val="6DE74955"/>
    <w:rsid w:val="6DE91B23"/>
    <w:rsid w:val="6DF606F4"/>
    <w:rsid w:val="6E21683B"/>
    <w:rsid w:val="6E2D4855"/>
    <w:rsid w:val="6E3336F6"/>
    <w:rsid w:val="6E3F01E3"/>
    <w:rsid w:val="6E443141"/>
    <w:rsid w:val="6E4753F3"/>
    <w:rsid w:val="6E550458"/>
    <w:rsid w:val="6E7033BD"/>
    <w:rsid w:val="6E7206C2"/>
    <w:rsid w:val="6E755ABD"/>
    <w:rsid w:val="6E7A5AC8"/>
    <w:rsid w:val="6E9F6FDD"/>
    <w:rsid w:val="6EA96F3D"/>
    <w:rsid w:val="6EAF36CA"/>
    <w:rsid w:val="6EB34837"/>
    <w:rsid w:val="6EB640E8"/>
    <w:rsid w:val="6EB87259"/>
    <w:rsid w:val="6EC151A6"/>
    <w:rsid w:val="6EC521F6"/>
    <w:rsid w:val="6ED50C51"/>
    <w:rsid w:val="6ED70525"/>
    <w:rsid w:val="6EDC5B3C"/>
    <w:rsid w:val="6EDE7B06"/>
    <w:rsid w:val="6EE36ECA"/>
    <w:rsid w:val="6F01756B"/>
    <w:rsid w:val="6F0D4425"/>
    <w:rsid w:val="6F127ECC"/>
    <w:rsid w:val="6F186B56"/>
    <w:rsid w:val="6F190B3E"/>
    <w:rsid w:val="6F1D3237"/>
    <w:rsid w:val="6F1E6154"/>
    <w:rsid w:val="6F280D81"/>
    <w:rsid w:val="6F3A558C"/>
    <w:rsid w:val="6F462FB6"/>
    <w:rsid w:val="6F522853"/>
    <w:rsid w:val="6F5C3890"/>
    <w:rsid w:val="6F60676D"/>
    <w:rsid w:val="6F6A75EB"/>
    <w:rsid w:val="6F71066B"/>
    <w:rsid w:val="6FB2689C"/>
    <w:rsid w:val="6FB344BE"/>
    <w:rsid w:val="6FDB2297"/>
    <w:rsid w:val="6FEF0C1A"/>
    <w:rsid w:val="6FF62C2D"/>
    <w:rsid w:val="70117A67"/>
    <w:rsid w:val="7016507D"/>
    <w:rsid w:val="703638B2"/>
    <w:rsid w:val="7036571F"/>
    <w:rsid w:val="703C170B"/>
    <w:rsid w:val="704B11CB"/>
    <w:rsid w:val="70682559"/>
    <w:rsid w:val="707A560C"/>
    <w:rsid w:val="708F6BDE"/>
    <w:rsid w:val="70986B9F"/>
    <w:rsid w:val="70AB192D"/>
    <w:rsid w:val="70B86CD7"/>
    <w:rsid w:val="70BC5C25"/>
    <w:rsid w:val="70D833B4"/>
    <w:rsid w:val="70E8431D"/>
    <w:rsid w:val="70E959F1"/>
    <w:rsid w:val="70EB475C"/>
    <w:rsid w:val="70EC55C5"/>
    <w:rsid w:val="70F82FCC"/>
    <w:rsid w:val="70FA3F49"/>
    <w:rsid w:val="70FC24C5"/>
    <w:rsid w:val="711E68DF"/>
    <w:rsid w:val="713A123F"/>
    <w:rsid w:val="716237FF"/>
    <w:rsid w:val="716D1DF0"/>
    <w:rsid w:val="719426FE"/>
    <w:rsid w:val="71A4303D"/>
    <w:rsid w:val="71DA347C"/>
    <w:rsid w:val="71E33685"/>
    <w:rsid w:val="71EC253A"/>
    <w:rsid w:val="71F42ADB"/>
    <w:rsid w:val="720B6B47"/>
    <w:rsid w:val="72102903"/>
    <w:rsid w:val="721104F4"/>
    <w:rsid w:val="72330169"/>
    <w:rsid w:val="7235381E"/>
    <w:rsid w:val="724759C2"/>
    <w:rsid w:val="724C5526"/>
    <w:rsid w:val="725974A3"/>
    <w:rsid w:val="727466A7"/>
    <w:rsid w:val="727E18AA"/>
    <w:rsid w:val="728409C4"/>
    <w:rsid w:val="72BB3CBA"/>
    <w:rsid w:val="72BD436D"/>
    <w:rsid w:val="72D373D2"/>
    <w:rsid w:val="72DB610A"/>
    <w:rsid w:val="72EE0543"/>
    <w:rsid w:val="73074945"/>
    <w:rsid w:val="730A1D63"/>
    <w:rsid w:val="7313723A"/>
    <w:rsid w:val="731768F9"/>
    <w:rsid w:val="731A327E"/>
    <w:rsid w:val="733847EA"/>
    <w:rsid w:val="73397A01"/>
    <w:rsid w:val="733B59A3"/>
    <w:rsid w:val="73567FD5"/>
    <w:rsid w:val="737A6946"/>
    <w:rsid w:val="739C6BE4"/>
    <w:rsid w:val="739C7F8F"/>
    <w:rsid w:val="73AD7AA7"/>
    <w:rsid w:val="73AE608D"/>
    <w:rsid w:val="73AF64D7"/>
    <w:rsid w:val="73CA3401"/>
    <w:rsid w:val="73CA7510"/>
    <w:rsid w:val="73E37F5B"/>
    <w:rsid w:val="73FC194A"/>
    <w:rsid w:val="74055211"/>
    <w:rsid w:val="74300265"/>
    <w:rsid w:val="74381A66"/>
    <w:rsid w:val="744877CF"/>
    <w:rsid w:val="745360E6"/>
    <w:rsid w:val="745E5E0F"/>
    <w:rsid w:val="746865A6"/>
    <w:rsid w:val="74873C08"/>
    <w:rsid w:val="749869A9"/>
    <w:rsid w:val="749A44CF"/>
    <w:rsid w:val="74B95A27"/>
    <w:rsid w:val="74C02EB9"/>
    <w:rsid w:val="74C50E20"/>
    <w:rsid w:val="74C652C4"/>
    <w:rsid w:val="74C94DB4"/>
    <w:rsid w:val="750456AE"/>
    <w:rsid w:val="7527168A"/>
    <w:rsid w:val="75273448"/>
    <w:rsid w:val="75321959"/>
    <w:rsid w:val="75322959"/>
    <w:rsid w:val="753366D1"/>
    <w:rsid w:val="75345D00"/>
    <w:rsid w:val="75363ACC"/>
    <w:rsid w:val="753B69CE"/>
    <w:rsid w:val="753C5586"/>
    <w:rsid w:val="753C7334"/>
    <w:rsid w:val="753E3F55"/>
    <w:rsid w:val="75834F63"/>
    <w:rsid w:val="75B72E5F"/>
    <w:rsid w:val="75C37A55"/>
    <w:rsid w:val="75C920D7"/>
    <w:rsid w:val="75C94BE6"/>
    <w:rsid w:val="75D05CCE"/>
    <w:rsid w:val="75D62CA5"/>
    <w:rsid w:val="75E47376"/>
    <w:rsid w:val="75E47897"/>
    <w:rsid w:val="761127E2"/>
    <w:rsid w:val="76113F86"/>
    <w:rsid w:val="762229CE"/>
    <w:rsid w:val="762C5B0D"/>
    <w:rsid w:val="763B2B00"/>
    <w:rsid w:val="766034F6"/>
    <w:rsid w:val="766C1E9B"/>
    <w:rsid w:val="76833149"/>
    <w:rsid w:val="76B63116"/>
    <w:rsid w:val="76CC46E8"/>
    <w:rsid w:val="76DD02E6"/>
    <w:rsid w:val="76F13814"/>
    <w:rsid w:val="7710746B"/>
    <w:rsid w:val="77244524"/>
    <w:rsid w:val="772E0EFE"/>
    <w:rsid w:val="77343B19"/>
    <w:rsid w:val="7742085F"/>
    <w:rsid w:val="77493F8A"/>
    <w:rsid w:val="77780D27"/>
    <w:rsid w:val="77831276"/>
    <w:rsid w:val="77882D05"/>
    <w:rsid w:val="778B76CC"/>
    <w:rsid w:val="778D5797"/>
    <w:rsid w:val="7793275F"/>
    <w:rsid w:val="77934E28"/>
    <w:rsid w:val="779F5394"/>
    <w:rsid w:val="77AD77C3"/>
    <w:rsid w:val="77D25C96"/>
    <w:rsid w:val="77D45F4A"/>
    <w:rsid w:val="77DC5141"/>
    <w:rsid w:val="77DC6A3E"/>
    <w:rsid w:val="77DF492A"/>
    <w:rsid w:val="77E01448"/>
    <w:rsid w:val="77E44719"/>
    <w:rsid w:val="77E872FF"/>
    <w:rsid w:val="77F736CB"/>
    <w:rsid w:val="7805453B"/>
    <w:rsid w:val="78056103"/>
    <w:rsid w:val="78126A72"/>
    <w:rsid w:val="781B243F"/>
    <w:rsid w:val="782824FB"/>
    <w:rsid w:val="78283BA0"/>
    <w:rsid w:val="786E3118"/>
    <w:rsid w:val="78771D52"/>
    <w:rsid w:val="78972AD3"/>
    <w:rsid w:val="789C633C"/>
    <w:rsid w:val="78A101DC"/>
    <w:rsid w:val="78A4270B"/>
    <w:rsid w:val="78CB7AE0"/>
    <w:rsid w:val="78D33DAE"/>
    <w:rsid w:val="78D41F79"/>
    <w:rsid w:val="7903170E"/>
    <w:rsid w:val="790706FE"/>
    <w:rsid w:val="7915607A"/>
    <w:rsid w:val="792627D5"/>
    <w:rsid w:val="792C3B64"/>
    <w:rsid w:val="79360736"/>
    <w:rsid w:val="79685FE2"/>
    <w:rsid w:val="797C2D8A"/>
    <w:rsid w:val="798B6ADC"/>
    <w:rsid w:val="799C0E56"/>
    <w:rsid w:val="79B75559"/>
    <w:rsid w:val="79C6596C"/>
    <w:rsid w:val="79DF4732"/>
    <w:rsid w:val="79E8250B"/>
    <w:rsid w:val="79F33B21"/>
    <w:rsid w:val="7A0E1B21"/>
    <w:rsid w:val="7A1203F2"/>
    <w:rsid w:val="7A156363"/>
    <w:rsid w:val="7A2F7B8D"/>
    <w:rsid w:val="7A3000FA"/>
    <w:rsid w:val="7A317C78"/>
    <w:rsid w:val="7A435FC5"/>
    <w:rsid w:val="7A5073DE"/>
    <w:rsid w:val="7A592736"/>
    <w:rsid w:val="7A5E2AEB"/>
    <w:rsid w:val="7A685B18"/>
    <w:rsid w:val="7A6D7F90"/>
    <w:rsid w:val="7A830DCD"/>
    <w:rsid w:val="7A971CCA"/>
    <w:rsid w:val="7AA77199"/>
    <w:rsid w:val="7AA91AD1"/>
    <w:rsid w:val="7AB91427"/>
    <w:rsid w:val="7ABC7AEC"/>
    <w:rsid w:val="7AC1208A"/>
    <w:rsid w:val="7ACD6C80"/>
    <w:rsid w:val="7ACF0C4A"/>
    <w:rsid w:val="7ADA521A"/>
    <w:rsid w:val="7AED553F"/>
    <w:rsid w:val="7AF526AF"/>
    <w:rsid w:val="7AFE53B6"/>
    <w:rsid w:val="7B1E2C06"/>
    <w:rsid w:val="7B3D7962"/>
    <w:rsid w:val="7B5F5B2A"/>
    <w:rsid w:val="7B877A43"/>
    <w:rsid w:val="7B9C1AD8"/>
    <w:rsid w:val="7BA1211A"/>
    <w:rsid w:val="7BAA2963"/>
    <w:rsid w:val="7BB279E8"/>
    <w:rsid w:val="7BB87930"/>
    <w:rsid w:val="7BC06376"/>
    <w:rsid w:val="7BC14B7D"/>
    <w:rsid w:val="7BCC1F82"/>
    <w:rsid w:val="7BEC3136"/>
    <w:rsid w:val="7C0E7550"/>
    <w:rsid w:val="7C1A4662"/>
    <w:rsid w:val="7C1E2ED5"/>
    <w:rsid w:val="7C263A70"/>
    <w:rsid w:val="7C29438A"/>
    <w:rsid w:val="7C311B84"/>
    <w:rsid w:val="7C44688F"/>
    <w:rsid w:val="7C4B2282"/>
    <w:rsid w:val="7C5D5560"/>
    <w:rsid w:val="7C6453C2"/>
    <w:rsid w:val="7C687235"/>
    <w:rsid w:val="7C6903D7"/>
    <w:rsid w:val="7C6A3A4A"/>
    <w:rsid w:val="7C6B1F9A"/>
    <w:rsid w:val="7C6B4385"/>
    <w:rsid w:val="7C7641C2"/>
    <w:rsid w:val="7C7E6484"/>
    <w:rsid w:val="7C842853"/>
    <w:rsid w:val="7C9E6B26"/>
    <w:rsid w:val="7C9F2BA7"/>
    <w:rsid w:val="7CA16329"/>
    <w:rsid w:val="7CA201F3"/>
    <w:rsid w:val="7CB023B6"/>
    <w:rsid w:val="7CC04F6F"/>
    <w:rsid w:val="7CC40AE5"/>
    <w:rsid w:val="7CD81688"/>
    <w:rsid w:val="7CDB7433"/>
    <w:rsid w:val="7CE81B50"/>
    <w:rsid w:val="7D0B0AED"/>
    <w:rsid w:val="7D0F532E"/>
    <w:rsid w:val="7D160C23"/>
    <w:rsid w:val="7D22540E"/>
    <w:rsid w:val="7D265A4E"/>
    <w:rsid w:val="7D2D47B0"/>
    <w:rsid w:val="7D3268ED"/>
    <w:rsid w:val="7D3A73FE"/>
    <w:rsid w:val="7D5052A6"/>
    <w:rsid w:val="7D63567A"/>
    <w:rsid w:val="7D7808E7"/>
    <w:rsid w:val="7D7A30EF"/>
    <w:rsid w:val="7D827454"/>
    <w:rsid w:val="7D923333"/>
    <w:rsid w:val="7D943396"/>
    <w:rsid w:val="7DB21E5E"/>
    <w:rsid w:val="7DBF6D54"/>
    <w:rsid w:val="7DDA1DE0"/>
    <w:rsid w:val="7DDD0890"/>
    <w:rsid w:val="7DE24B57"/>
    <w:rsid w:val="7DFF7849"/>
    <w:rsid w:val="7E151C2E"/>
    <w:rsid w:val="7E156974"/>
    <w:rsid w:val="7E161A35"/>
    <w:rsid w:val="7E2C493A"/>
    <w:rsid w:val="7E301A00"/>
    <w:rsid w:val="7E316343"/>
    <w:rsid w:val="7E370A6D"/>
    <w:rsid w:val="7E3D5434"/>
    <w:rsid w:val="7E5D031B"/>
    <w:rsid w:val="7E7D3861"/>
    <w:rsid w:val="7E8A6A39"/>
    <w:rsid w:val="7E8B30DA"/>
    <w:rsid w:val="7E954526"/>
    <w:rsid w:val="7E99578A"/>
    <w:rsid w:val="7E9A00A3"/>
    <w:rsid w:val="7E9E696A"/>
    <w:rsid w:val="7EAE3D60"/>
    <w:rsid w:val="7EB4618D"/>
    <w:rsid w:val="7EB73ECF"/>
    <w:rsid w:val="7EC77348"/>
    <w:rsid w:val="7EC96F21"/>
    <w:rsid w:val="7EEA1BAF"/>
    <w:rsid w:val="7EF6495A"/>
    <w:rsid w:val="7EFF497E"/>
    <w:rsid w:val="7F0A046A"/>
    <w:rsid w:val="7F111831"/>
    <w:rsid w:val="7F1233BE"/>
    <w:rsid w:val="7F157BBF"/>
    <w:rsid w:val="7F1E5CFC"/>
    <w:rsid w:val="7F2F1CB8"/>
    <w:rsid w:val="7F45772D"/>
    <w:rsid w:val="7F484B27"/>
    <w:rsid w:val="7F520DC6"/>
    <w:rsid w:val="7F557623"/>
    <w:rsid w:val="7F637BB3"/>
    <w:rsid w:val="7F736048"/>
    <w:rsid w:val="7F8C710A"/>
    <w:rsid w:val="7F902D58"/>
    <w:rsid w:val="7F930498"/>
    <w:rsid w:val="7F9F4B5D"/>
    <w:rsid w:val="7FA615D0"/>
    <w:rsid w:val="7FB81CAD"/>
    <w:rsid w:val="7FBF3DCC"/>
    <w:rsid w:val="7FD844CB"/>
    <w:rsid w:val="7FDB2430"/>
    <w:rsid w:val="7FE671D0"/>
    <w:rsid w:val="7FE96231"/>
    <w:rsid w:val="7FEC2A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qFormat="1" w:unhideWhenUsed="0" w:uiPriority="0" w:semiHidden="0"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4"/>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link w:val="35"/>
    <w:unhideWhenUsed/>
    <w:qFormat/>
    <w:uiPriority w:val="9"/>
    <w:pPr>
      <w:keepNext/>
      <w:keepLines/>
      <w:spacing w:before="260" w:after="260" w:line="416" w:lineRule="auto"/>
      <w:outlineLvl w:val="2"/>
    </w:pPr>
    <w:rPr>
      <w:b/>
      <w:bCs/>
      <w:sz w:val="32"/>
      <w:szCs w:val="32"/>
    </w:rPr>
  </w:style>
  <w:style w:type="paragraph" w:styleId="5">
    <w:name w:val="heading 4"/>
    <w:basedOn w:val="1"/>
    <w:next w:val="1"/>
    <w:unhideWhenUsed/>
    <w:qFormat/>
    <w:uiPriority w:val="9"/>
    <w:pPr>
      <w:keepNext/>
      <w:keepLines/>
      <w:spacing w:before="280" w:after="290" w:line="372" w:lineRule="auto"/>
      <w:outlineLvl w:val="3"/>
    </w:pPr>
    <w:rPr>
      <w:rFonts w:ascii="Arial" w:hAnsi="Arial" w:eastAsia="黑体"/>
      <w:b/>
      <w:sz w:val="28"/>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qFormat/>
    <w:uiPriority w:val="99"/>
    <w:pPr>
      <w:autoSpaceDE w:val="0"/>
      <w:autoSpaceDN w:val="0"/>
      <w:adjustRightInd w:val="0"/>
      <w:spacing w:line="360" w:lineRule="auto"/>
      <w:jc w:val="left"/>
      <w:textAlignment w:val="baseline"/>
    </w:pPr>
    <w:rPr>
      <w:rFonts w:ascii="宋体" w:hAnsi="宋体"/>
      <w:kern w:val="0"/>
      <w:sz w:val="24"/>
      <w:szCs w:val="20"/>
    </w:rPr>
  </w:style>
  <w:style w:type="paragraph" w:styleId="7">
    <w:name w:val="Body Text"/>
    <w:basedOn w:val="1"/>
    <w:next w:val="8"/>
    <w:qFormat/>
    <w:uiPriority w:val="0"/>
    <w:rPr>
      <w:rFonts w:ascii="华文中宋" w:eastAsia="华文中宋"/>
      <w:bCs/>
      <w:sz w:val="28"/>
    </w:rPr>
  </w:style>
  <w:style w:type="paragraph" w:styleId="8">
    <w:name w:val="Subtitle"/>
    <w:basedOn w:val="1"/>
    <w:next w:val="1"/>
    <w:qFormat/>
    <w:uiPriority w:val="0"/>
    <w:pPr>
      <w:spacing w:before="240" w:after="60" w:line="312" w:lineRule="auto"/>
      <w:jc w:val="center"/>
      <w:outlineLvl w:val="1"/>
    </w:pPr>
    <w:rPr>
      <w:rFonts w:ascii="Cambria" w:hAnsi="Cambria"/>
      <w:b/>
      <w:bCs/>
      <w:kern w:val="28"/>
      <w:sz w:val="32"/>
      <w:szCs w:val="32"/>
    </w:rPr>
  </w:style>
  <w:style w:type="paragraph" w:styleId="9">
    <w:name w:val="Body Text Indent"/>
    <w:basedOn w:val="1"/>
    <w:qFormat/>
    <w:uiPriority w:val="0"/>
    <w:pPr>
      <w:spacing w:after="120"/>
      <w:ind w:left="420" w:leftChars="200"/>
    </w:pPr>
  </w:style>
  <w:style w:type="paragraph" w:styleId="10">
    <w:name w:val="Block Text"/>
    <w:basedOn w:val="1"/>
    <w:qFormat/>
    <w:uiPriority w:val="0"/>
    <w:pPr>
      <w:autoSpaceDE w:val="0"/>
      <w:autoSpaceDN w:val="0"/>
      <w:adjustRightInd w:val="0"/>
      <w:spacing w:line="500" w:lineRule="exact"/>
      <w:ind w:left="391" w:right="246"/>
    </w:pPr>
    <w:rPr>
      <w:rFonts w:ascii="仿宋_GB2312" w:eastAsia="仿宋_GB2312"/>
      <w:kern w:val="0"/>
      <w:sz w:val="24"/>
    </w:rPr>
  </w:style>
  <w:style w:type="paragraph" w:styleId="11">
    <w:name w:val="toc 3"/>
    <w:basedOn w:val="1"/>
    <w:next w:val="1"/>
    <w:unhideWhenUsed/>
    <w:qFormat/>
    <w:uiPriority w:val="39"/>
    <w:pPr>
      <w:tabs>
        <w:tab w:val="right" w:leader="dot" w:pos="8296"/>
      </w:tabs>
      <w:spacing w:line="360" w:lineRule="auto"/>
      <w:ind w:left="840" w:leftChars="400"/>
    </w:pPr>
  </w:style>
  <w:style w:type="paragraph" w:styleId="12">
    <w:name w:val="Plain Text"/>
    <w:basedOn w:val="1"/>
    <w:link w:val="30"/>
    <w:qFormat/>
    <w:uiPriority w:val="0"/>
    <w:rPr>
      <w:rFonts w:ascii="宋体" w:hAnsi="Courier New" w:cs="Courier New"/>
      <w:szCs w:val="21"/>
    </w:rPr>
  </w:style>
  <w:style w:type="paragraph" w:styleId="13">
    <w:name w:val="Body Text Indent 2"/>
    <w:basedOn w:val="1"/>
    <w:qFormat/>
    <w:uiPriority w:val="0"/>
    <w:pPr>
      <w:ind w:firstLine="2160" w:firstLineChars="300"/>
    </w:pPr>
    <w:rPr>
      <w:rFonts w:hint="eastAsia" w:ascii="黑体" w:hAnsi="华文中宋" w:eastAsia="黑体"/>
      <w:bCs/>
      <w:sz w:val="72"/>
    </w:rPr>
  </w:style>
  <w:style w:type="paragraph" w:styleId="14">
    <w:name w:val="Balloon Text"/>
    <w:basedOn w:val="1"/>
    <w:link w:val="38"/>
    <w:unhideWhenUsed/>
    <w:qFormat/>
    <w:uiPriority w:val="99"/>
    <w:rPr>
      <w:sz w:val="18"/>
      <w:szCs w:val="18"/>
    </w:rPr>
  </w:style>
  <w:style w:type="paragraph" w:styleId="15">
    <w:name w:val="footer"/>
    <w:basedOn w:val="1"/>
    <w:link w:val="28"/>
    <w:unhideWhenUsed/>
    <w:qFormat/>
    <w:uiPriority w:val="99"/>
    <w:pPr>
      <w:tabs>
        <w:tab w:val="center" w:pos="4153"/>
        <w:tab w:val="right" w:pos="8306"/>
      </w:tabs>
      <w:snapToGrid w:val="0"/>
      <w:jc w:val="left"/>
    </w:pPr>
    <w:rPr>
      <w:sz w:val="18"/>
      <w:szCs w:val="18"/>
    </w:rPr>
  </w:style>
  <w:style w:type="paragraph" w:styleId="16">
    <w:name w:val="header"/>
    <w:basedOn w:val="1"/>
    <w:next w:val="1"/>
    <w:link w:val="27"/>
    <w:unhideWhenUsed/>
    <w:qFormat/>
    <w:uiPriority w:val="99"/>
    <w:pPr>
      <w:pBdr>
        <w:bottom w:val="single" w:color="auto" w:sz="6" w:space="1"/>
      </w:pBdr>
      <w:tabs>
        <w:tab w:val="center" w:pos="4153"/>
        <w:tab w:val="right" w:pos="8306"/>
      </w:tabs>
      <w:snapToGrid w:val="0"/>
      <w:jc w:val="left"/>
    </w:pPr>
    <w:rPr>
      <w:sz w:val="18"/>
      <w:szCs w:val="18"/>
    </w:rPr>
  </w:style>
  <w:style w:type="paragraph" w:styleId="17">
    <w:name w:val="toc 1"/>
    <w:basedOn w:val="1"/>
    <w:next w:val="1"/>
    <w:unhideWhenUsed/>
    <w:qFormat/>
    <w:uiPriority w:val="39"/>
    <w:pPr>
      <w:tabs>
        <w:tab w:val="right" w:leader="dot" w:pos="8296"/>
      </w:tabs>
      <w:spacing w:line="720" w:lineRule="auto"/>
      <w:ind w:left="-2" w:leftChars="-1" w:firstLine="1"/>
      <w:jc w:val="center"/>
    </w:pPr>
    <w:rPr>
      <w:b/>
      <w:sz w:val="30"/>
      <w:szCs w:val="30"/>
    </w:rPr>
  </w:style>
  <w:style w:type="paragraph" w:styleId="18">
    <w:name w:val="List"/>
    <w:basedOn w:val="1"/>
    <w:qFormat/>
    <w:uiPriority w:val="0"/>
    <w:pPr>
      <w:ind w:left="200" w:hanging="200" w:hangingChars="200"/>
    </w:pPr>
  </w:style>
  <w:style w:type="paragraph" w:styleId="19">
    <w:name w:val="toc 2"/>
    <w:basedOn w:val="1"/>
    <w:next w:val="1"/>
    <w:unhideWhenUsed/>
    <w:qFormat/>
    <w:uiPriority w:val="39"/>
    <w:pPr>
      <w:tabs>
        <w:tab w:val="right" w:leader="dot" w:pos="8296"/>
      </w:tabs>
      <w:spacing w:afterLines="100" w:line="360" w:lineRule="auto"/>
      <w:ind w:left="420" w:leftChars="200"/>
      <w:jc w:val="center"/>
    </w:pPr>
    <w:rPr>
      <w:b/>
      <w:sz w:val="36"/>
      <w:szCs w:val="36"/>
    </w:rPr>
  </w:style>
  <w:style w:type="paragraph" w:styleId="20">
    <w:name w:val="Normal (Web)"/>
    <w:basedOn w:val="1"/>
    <w:qFormat/>
    <w:uiPriority w:val="0"/>
    <w:pPr>
      <w:spacing w:before="100" w:beforeAutospacing="1" w:after="100" w:afterAutospacing="1"/>
      <w:jc w:val="left"/>
    </w:pPr>
    <w:rPr>
      <w:rFonts w:ascii="Calibri" w:hAnsi="Calibri"/>
      <w:kern w:val="0"/>
      <w:sz w:val="24"/>
    </w:rPr>
  </w:style>
  <w:style w:type="paragraph" w:styleId="21">
    <w:name w:val="Body Text First Indent 2"/>
    <w:basedOn w:val="9"/>
    <w:qFormat/>
    <w:uiPriority w:val="0"/>
    <w:pPr>
      <w:ind w:left="0" w:leftChars="0" w:firstLine="210"/>
    </w:pPr>
    <w:rPr>
      <w:rFonts w:ascii="楷体_GB2312" w:eastAsia="楷体_GB2312"/>
      <w:sz w:val="32"/>
    </w:rPr>
  </w:style>
  <w:style w:type="table" w:styleId="23">
    <w:name w:val="Table Grid"/>
    <w:basedOn w:val="2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5">
    <w:name w:val="Hyperlink"/>
    <w:basedOn w:val="24"/>
    <w:unhideWhenUsed/>
    <w:qFormat/>
    <w:uiPriority w:val="99"/>
    <w:rPr>
      <w:color w:val="0000FF" w:themeColor="hyperlink"/>
      <w:u w:val="single"/>
      <w14:textFill>
        <w14:solidFill>
          <w14:schemeClr w14:val="hlink"/>
        </w14:solidFill>
      </w14:textFill>
    </w:rPr>
  </w:style>
  <w:style w:type="paragraph" w:customStyle="1" w:styleId="26">
    <w:name w:val="无间隔1"/>
    <w:qFormat/>
    <w:uiPriority w:val="99"/>
    <w:pPr>
      <w:widowControl w:val="0"/>
      <w:jc w:val="both"/>
    </w:pPr>
    <w:rPr>
      <w:rFonts w:ascii="Calibri" w:hAnsi="Calibri" w:eastAsia="宋体" w:cs="Times New Roman"/>
      <w:kern w:val="2"/>
      <w:sz w:val="21"/>
      <w:szCs w:val="22"/>
      <w:lang w:val="en-US" w:eastAsia="zh-CN" w:bidi="ar-SA"/>
    </w:rPr>
  </w:style>
  <w:style w:type="character" w:customStyle="1" w:styleId="27">
    <w:name w:val="页眉 Char"/>
    <w:basedOn w:val="24"/>
    <w:link w:val="16"/>
    <w:semiHidden/>
    <w:qFormat/>
    <w:uiPriority w:val="99"/>
    <w:rPr>
      <w:rFonts w:ascii="Times New Roman" w:hAnsi="Times New Roman" w:eastAsia="宋体"/>
      <w:sz w:val="18"/>
      <w:szCs w:val="18"/>
    </w:rPr>
  </w:style>
  <w:style w:type="character" w:customStyle="1" w:styleId="28">
    <w:name w:val="页脚 Char"/>
    <w:basedOn w:val="24"/>
    <w:link w:val="15"/>
    <w:qFormat/>
    <w:uiPriority w:val="99"/>
    <w:rPr>
      <w:sz w:val="18"/>
      <w:szCs w:val="18"/>
    </w:rPr>
  </w:style>
  <w:style w:type="character" w:customStyle="1" w:styleId="29">
    <w:name w:val="标题 2 Char"/>
    <w:basedOn w:val="24"/>
    <w:link w:val="3"/>
    <w:qFormat/>
    <w:uiPriority w:val="0"/>
    <w:rPr>
      <w:rFonts w:ascii="Cambria" w:hAnsi="Cambria" w:eastAsia="宋体" w:cs="Times New Roman"/>
      <w:b/>
      <w:bCs/>
      <w:sz w:val="32"/>
      <w:szCs w:val="32"/>
    </w:rPr>
  </w:style>
  <w:style w:type="character" w:customStyle="1" w:styleId="30">
    <w:name w:val="纯文本 Char"/>
    <w:basedOn w:val="24"/>
    <w:link w:val="12"/>
    <w:qFormat/>
    <w:uiPriority w:val="0"/>
    <w:rPr>
      <w:rFonts w:ascii="宋体" w:hAnsi="Courier New" w:eastAsia="宋体" w:cs="Courier New"/>
      <w:szCs w:val="21"/>
    </w:rPr>
  </w:style>
  <w:style w:type="paragraph" w:customStyle="1" w:styleId="31">
    <w:name w:val="样式1"/>
    <w:basedOn w:val="1"/>
    <w:qFormat/>
    <w:uiPriority w:val="0"/>
    <w:pPr>
      <w:adjustRightInd w:val="0"/>
      <w:textAlignment w:val="baseline"/>
    </w:pPr>
    <w:rPr>
      <w:rFonts w:ascii="宋体" w:hAnsi="宋体"/>
      <w:kern w:val="0"/>
      <w:szCs w:val="21"/>
    </w:rPr>
  </w:style>
  <w:style w:type="paragraph" w:styleId="32">
    <w:name w:val="List Paragraph"/>
    <w:basedOn w:val="1"/>
    <w:qFormat/>
    <w:uiPriority w:val="34"/>
    <w:pPr>
      <w:ind w:firstLine="420" w:firstLineChars="200"/>
    </w:pPr>
    <w:rPr>
      <w:rFonts w:asciiTheme="minorHAnsi" w:hAnsiTheme="minorHAnsi" w:eastAsiaTheme="minorEastAsia" w:cstheme="minorBidi"/>
      <w:szCs w:val="22"/>
    </w:rPr>
  </w:style>
  <w:style w:type="character" w:customStyle="1" w:styleId="33">
    <w:name w:val="书籍标题1"/>
    <w:basedOn w:val="24"/>
    <w:qFormat/>
    <w:uiPriority w:val="33"/>
    <w:rPr>
      <w:b/>
      <w:bCs/>
      <w:smallCaps/>
      <w:spacing w:val="5"/>
    </w:rPr>
  </w:style>
  <w:style w:type="character" w:customStyle="1" w:styleId="34">
    <w:name w:val="标题 1 Char"/>
    <w:basedOn w:val="24"/>
    <w:link w:val="2"/>
    <w:qFormat/>
    <w:uiPriority w:val="9"/>
    <w:rPr>
      <w:rFonts w:ascii="Times New Roman" w:hAnsi="Times New Roman" w:eastAsia="宋体" w:cs="Times New Roman"/>
      <w:b/>
      <w:bCs/>
      <w:kern w:val="44"/>
      <w:sz w:val="44"/>
      <w:szCs w:val="44"/>
    </w:rPr>
  </w:style>
  <w:style w:type="character" w:customStyle="1" w:styleId="35">
    <w:name w:val="标题 3 Char"/>
    <w:basedOn w:val="24"/>
    <w:link w:val="4"/>
    <w:qFormat/>
    <w:uiPriority w:val="9"/>
    <w:rPr>
      <w:rFonts w:ascii="Times New Roman" w:hAnsi="Times New Roman" w:eastAsia="宋体" w:cs="Times New Roman"/>
      <w:b/>
      <w:bCs/>
      <w:sz w:val="32"/>
      <w:szCs w:val="32"/>
    </w:rPr>
  </w:style>
  <w:style w:type="paragraph" w:customStyle="1" w:styleId="36">
    <w:name w:val="列出段落1"/>
    <w:basedOn w:val="1"/>
    <w:qFormat/>
    <w:uiPriority w:val="34"/>
    <w:pPr>
      <w:ind w:firstLine="420" w:firstLineChars="200"/>
    </w:pPr>
  </w:style>
  <w:style w:type="paragraph" w:customStyle="1" w:styleId="37">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8">
    <w:name w:val="批注框文本 Char"/>
    <w:basedOn w:val="24"/>
    <w:link w:val="14"/>
    <w:semiHidden/>
    <w:qFormat/>
    <w:uiPriority w:val="99"/>
    <w:rPr>
      <w:rFonts w:ascii="Times New Roman" w:hAnsi="Times New Roman" w:eastAsia="宋体" w:cs="Times New Roman"/>
      <w:sz w:val="18"/>
      <w:szCs w:val="18"/>
    </w:rPr>
  </w:style>
  <w:style w:type="paragraph" w:customStyle="1" w:styleId="39">
    <w:name w:val="段"/>
    <w:next w:val="1"/>
    <w:qFormat/>
    <w:uiPriority w:val="0"/>
    <w:pPr>
      <w:tabs>
        <w:tab w:val="center" w:pos="4201"/>
        <w:tab w:val="right" w:leader="dot" w:pos="8305"/>
      </w:tabs>
      <w:ind w:firstLine="420"/>
      <w:jc w:val="both"/>
    </w:pPr>
    <w:rPr>
      <w:rFonts w:ascii="宋体" w:hAnsi="宋体" w:eastAsia="宋体" w:cs="Times New Roman"/>
      <w:color w:val="000000"/>
      <w:sz w:val="21"/>
      <w:szCs w:val="22"/>
      <w:lang w:val="en-US" w:eastAsia="zh-CN" w:bidi="ar-SA"/>
    </w:rPr>
  </w:style>
  <w:style w:type="paragraph" w:customStyle="1" w:styleId="40">
    <w:name w:val="正文1"/>
    <w:qFormat/>
    <w:uiPriority w:val="0"/>
    <w:pPr>
      <w:widowControl w:val="0"/>
      <w:adjustRightInd w:val="0"/>
      <w:spacing w:line="360" w:lineRule="atLeast"/>
      <w:textAlignment w:val="baseline"/>
    </w:pPr>
    <w:rPr>
      <w:rFonts w:ascii="宋体" w:hAnsi="Times New Roman" w:eastAsia="宋体" w:cs="Times New Roman"/>
      <w:b/>
      <w:position w:val="-10"/>
      <w:sz w:val="24"/>
      <w:szCs w:val="22"/>
      <w:lang w:val="en-US" w:eastAsia="zh-CN" w:bidi="ar-SA"/>
    </w:rPr>
  </w:style>
  <w:style w:type="paragraph" w:customStyle="1" w:styleId="41">
    <w:name w:val="TOC 标题11"/>
    <w:basedOn w:val="2"/>
    <w:next w:val="1"/>
    <w:unhideWhenUsed/>
    <w:qFormat/>
    <w:uiPriority w:val="39"/>
    <w:pPr>
      <w:widowControl/>
      <w:spacing w:before="480" w:line="276" w:lineRule="auto"/>
      <w:jc w:val="left"/>
      <w:outlineLvl w:val="9"/>
    </w:pPr>
    <w:rPr>
      <w:rFonts w:ascii="Cambria" w:hAnsi="Cambria"/>
      <w:color w:val="366091"/>
      <w:kern w:val="0"/>
      <w:sz w:val="28"/>
      <w:szCs w:val="28"/>
    </w:rPr>
  </w:style>
  <w:style w:type="paragraph" w:customStyle="1" w:styleId="42">
    <w:name w:val="目录 11"/>
    <w:basedOn w:val="1"/>
    <w:next w:val="1"/>
    <w:qFormat/>
    <w:uiPriority w:val="0"/>
    <w:pPr>
      <w:adjustRightInd w:val="0"/>
      <w:spacing w:line="360" w:lineRule="atLeast"/>
      <w:jc w:val="left"/>
      <w:textAlignment w:val="baseline"/>
    </w:pPr>
    <w:rPr>
      <w:rFonts w:ascii="宋体" w:hAnsi="宋体" w:cs="宋体"/>
      <w:color w:val="FF0000"/>
      <w:kern w:val="0"/>
      <w:szCs w:val="21"/>
    </w:rPr>
  </w:style>
  <w:style w:type="paragraph" w:customStyle="1" w:styleId="43">
    <w:name w:val="Other|1"/>
    <w:basedOn w:val="1"/>
    <w:qFormat/>
    <w:uiPriority w:val="0"/>
    <w:pPr>
      <w:widowControl w:val="0"/>
      <w:shd w:val="clear" w:color="auto" w:fill="auto"/>
      <w:spacing w:line="302" w:lineRule="exact"/>
    </w:pPr>
    <w:rPr>
      <w:rFonts w:ascii="宋体" w:hAnsi="宋体" w:eastAsia="宋体" w:cs="宋体"/>
      <w:sz w:val="22"/>
      <w:szCs w:val="22"/>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EEAE2F3-9543-4322-A5D5-6EB559099E08}">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34</Pages>
  <Words>12883</Words>
  <Characters>13388</Characters>
  <Lines>137</Lines>
  <Paragraphs>38</Paragraphs>
  <TotalTime>0</TotalTime>
  <ScaleCrop>false</ScaleCrop>
  <LinksUpToDate>false</LinksUpToDate>
  <CharactersWithSpaces>14465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2018-09-06T02:47:00Z</dcterms:created>
  <dc:creator>微软用户</dc:creator>
  <cp:lastModifiedBy>WPS_1650610712</cp:lastModifiedBy>
  <cp:lastPrinted>2024-09-26T02:08:00Z</cp:lastPrinted>
  <dcterms:modified xsi:type="dcterms:W3CDTF">2026-09-03T07:55:20Z</dcterms:modified>
  <cp:revision>602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9291FFA031AD4826B561260564784F23_13</vt:lpwstr>
  </property>
  <property fmtid="{D5CDD505-2E9C-101B-9397-08002B2CF9AE}" pid="4" name="KSOTemplateDocerSaveRecord">
    <vt:lpwstr>eyJoZGlkIjoiZjIxODU4Yzc1OTBlNTk3M2E3MTJhNTk5NGUwZTIwMjEiLCJ1c2VySWQiOiIxMzY2NjU0NzAxIn0=</vt:lpwstr>
  </property>
</Properties>
</file>